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4C" w:rsidRDefault="00C55E4C" w:rsidP="00C55E4C">
      <w:pPr>
        <w:pStyle w:val="PlainText"/>
      </w:pPr>
      <w:r>
        <w:t>Green Isle Partners, LTD., S.E.</w:t>
      </w:r>
    </w:p>
    <w:p w:rsidR="00C55E4C" w:rsidRDefault="00C55E4C" w:rsidP="00C55E4C">
      <w:pPr>
        <w:pStyle w:val="PlainText"/>
      </w:pPr>
    </w:p>
    <w:p w:rsidR="00C55E4C" w:rsidRDefault="00C55E4C" w:rsidP="00C55E4C">
      <w:pPr>
        <w:pStyle w:val="PlainText"/>
      </w:pPr>
      <w:r>
        <w:t>Plaintiff</w:t>
      </w:r>
    </w:p>
    <w:p w:rsidR="00C55E4C" w:rsidRDefault="00C55E4C" w:rsidP="00C55E4C">
      <w:pPr>
        <w:pStyle w:val="PlainText"/>
      </w:pPr>
    </w:p>
    <w:p w:rsidR="00C55E4C" w:rsidRDefault="00C55E4C" w:rsidP="00C55E4C">
      <w:pPr>
        <w:pStyle w:val="PlainText"/>
      </w:pPr>
      <w:r>
        <w:t>-</w:t>
      </w:r>
      <w:proofErr w:type="gramStart"/>
      <w:r>
        <w:t>against</w:t>
      </w:r>
      <w:proofErr w:type="gramEnd"/>
      <w:r>
        <w:t>-</w:t>
      </w:r>
    </w:p>
    <w:p w:rsidR="00C55E4C" w:rsidRDefault="00C55E4C" w:rsidP="00C55E4C">
      <w:pPr>
        <w:pStyle w:val="PlainText"/>
      </w:pPr>
    </w:p>
    <w:p w:rsidR="00C55E4C" w:rsidRDefault="00C55E4C" w:rsidP="00C55E4C">
      <w:pPr>
        <w:pStyle w:val="PlainText"/>
      </w:pPr>
      <w:r>
        <w:t xml:space="preserve">The Ritz Carlton Hotel Company, L.L.C., The Ritz Carlton Hotel Company of Puerto Rico, Inc., Marriott International, Inc., Marriott Distribution Services, Inc., Marriott International Capital Corp., and </w:t>
      </w:r>
      <w:proofErr w:type="spellStart"/>
      <w:r>
        <w:t>Avendra</w:t>
      </w:r>
      <w:proofErr w:type="spellEnd"/>
      <w:r>
        <w:t xml:space="preserve"> L.L.C.,</w:t>
      </w:r>
    </w:p>
    <w:p w:rsidR="00C55E4C" w:rsidRDefault="00C55E4C" w:rsidP="00C55E4C">
      <w:pPr>
        <w:pStyle w:val="PlainText"/>
      </w:pPr>
    </w:p>
    <w:p w:rsidR="00C55E4C" w:rsidRDefault="00C55E4C" w:rsidP="00C55E4C">
      <w:pPr>
        <w:pStyle w:val="PlainText"/>
      </w:pPr>
      <w:proofErr w:type="gramStart"/>
      <w:r>
        <w:t>Defendants.</w:t>
      </w:r>
      <w:proofErr w:type="gramEnd"/>
    </w:p>
    <w:p w:rsidR="00C55E4C" w:rsidRDefault="00C55E4C" w:rsidP="00C55E4C">
      <w:pPr>
        <w:pStyle w:val="PlainText"/>
      </w:pPr>
    </w:p>
    <w:p w:rsidR="00C55E4C" w:rsidRDefault="00C55E4C" w:rsidP="00C55E4C">
      <w:pPr>
        <w:pStyle w:val="PlainText"/>
      </w:pPr>
      <w:r>
        <w:t xml:space="preserve">The case was initially brought in the United States District Court for the District of Delaware, but was transferred to the District Court in Puerto Rico.     </w:t>
      </w:r>
    </w:p>
    <w:p w:rsidR="00C55E4C" w:rsidRDefault="00C55E4C" w:rsidP="00C55E4C">
      <w:pPr>
        <w:pStyle w:val="HTMLPreformatted"/>
        <w:rPr>
          <w:rFonts w:asciiTheme="minorHAnsi" w:eastAsiaTheme="minorHAnsi" w:hAnsiTheme="minorHAnsi" w:cstheme="minorBidi"/>
          <w:i/>
          <w:sz w:val="24"/>
          <w:szCs w:val="24"/>
        </w:rPr>
      </w:pPr>
    </w:p>
    <w:p w:rsidR="00C55E4C" w:rsidRDefault="00C55E4C" w:rsidP="00C55E4C">
      <w:pPr>
        <w:pStyle w:val="PlainText"/>
      </w:pPr>
      <w:r>
        <w:t>The docket number in the Delaware Court was 1:01-</w:t>
      </w:r>
      <w:proofErr w:type="gramStart"/>
      <w:r>
        <w:t>cv-</w:t>
      </w:r>
      <w:proofErr w:type="gramEnd"/>
      <w:r>
        <w:t>00202-JJF</w:t>
      </w:r>
    </w:p>
    <w:p w:rsidR="00C55E4C" w:rsidRDefault="00C55E4C" w:rsidP="00C55E4C">
      <w:pPr>
        <w:pStyle w:val="PlainText"/>
      </w:pPr>
    </w:p>
    <w:p w:rsidR="00C55E4C" w:rsidRDefault="00C55E4C" w:rsidP="00C55E4C">
      <w:pPr>
        <w:pStyle w:val="PlainText"/>
      </w:pPr>
      <w:r>
        <w:t>The docket number in Puerto Rico was 3:01-</w:t>
      </w:r>
      <w:proofErr w:type="gramStart"/>
      <w:r>
        <w:t>cv-</w:t>
      </w:r>
      <w:proofErr w:type="gramEnd"/>
      <w:r>
        <w:t>02621-JP</w:t>
      </w:r>
    </w:p>
    <w:p w:rsidR="00C55E4C" w:rsidRDefault="00C55E4C" w:rsidP="00C55E4C">
      <w:pPr>
        <w:pStyle w:val="PlainText"/>
      </w:pPr>
    </w:p>
    <w:p w:rsidR="00C55E4C" w:rsidRDefault="00C55E4C" w:rsidP="00C55E4C">
      <w:pPr>
        <w:pStyle w:val="PlainText"/>
      </w:pPr>
    </w:p>
    <w:p w:rsidR="00DB33A3" w:rsidRDefault="00DB33A3" w:rsidP="00DB33A3">
      <w:pPr>
        <w:spacing w:before="100" w:beforeAutospacing="1" w:after="100" w:afterAutospacing="1"/>
      </w:pPr>
      <w:r w:rsidRPr="006513A3">
        <w:rPr>
          <w:rFonts w:cs="Times"/>
        </w:rPr>
        <w:t>Green Isle Partners</w:t>
      </w:r>
      <w:r>
        <w:rPr>
          <w:rFonts w:cs="Times"/>
        </w:rPr>
        <w:t xml:space="preserve"> sued Marriott in March 2001 charging that it falsified </w:t>
      </w:r>
      <w:r w:rsidRPr="008B77DC">
        <w:rPr>
          <w:rFonts w:cs="Times"/>
        </w:rPr>
        <w:t xml:space="preserve">records and engaged in kickback schemes </w:t>
      </w:r>
      <w:r>
        <w:rPr>
          <w:rFonts w:cs="Times"/>
        </w:rPr>
        <w:t xml:space="preserve">and self-dealing (using </w:t>
      </w:r>
      <w:proofErr w:type="spellStart"/>
      <w:r>
        <w:rPr>
          <w:rFonts w:cs="Times"/>
        </w:rPr>
        <w:t>Avendra</w:t>
      </w:r>
      <w:proofErr w:type="spellEnd"/>
      <w:r>
        <w:rPr>
          <w:rFonts w:cs="Times"/>
        </w:rPr>
        <w:t xml:space="preserve">) while running its Ritz-Carlton in Puerto Rico.  </w:t>
      </w:r>
      <w:r w:rsidRPr="006513A3">
        <w:rPr>
          <w:rFonts w:cs="Times"/>
        </w:rPr>
        <w:t xml:space="preserve">The claim includes allegations of kick-back schemes, concealing transactions with affiliates, </w:t>
      </w:r>
      <w:r w:rsidRPr="006513A3">
        <w:rPr>
          <w:rFonts w:cs="Times"/>
        </w:rPr>
        <w:br/>
      </w:r>
      <w:r w:rsidRPr="008C3AAF">
        <w:t>false entries in the boo</w:t>
      </w:r>
      <w:r>
        <w:t>ks and manipulation of accounts.</w:t>
      </w:r>
    </w:p>
    <w:p w:rsidR="00DB33A3" w:rsidRDefault="00DB33A3" w:rsidP="00DB33A3"/>
    <w:p w:rsidR="00DB33A3" w:rsidRPr="000D730A" w:rsidRDefault="00DB33A3" w:rsidP="00DB33A3">
      <w:pPr>
        <w:jc w:val="center"/>
      </w:pPr>
      <w:r>
        <w:rPr>
          <w:b/>
          <w:bCs/>
          <w:sz w:val="36"/>
        </w:rPr>
        <w:t xml:space="preserve">MARRIOT'S </w:t>
      </w:r>
      <w:r w:rsidRPr="000D730A">
        <w:rPr>
          <w:b/>
          <w:bCs/>
          <w:sz w:val="36"/>
        </w:rPr>
        <w:t xml:space="preserve">FORM 10-K </w:t>
      </w:r>
    </w:p>
    <w:p w:rsidR="00DB33A3" w:rsidRPr="000D730A" w:rsidRDefault="00DB33A3" w:rsidP="00DB33A3">
      <w:pPr>
        <w:jc w:val="center"/>
      </w:pPr>
      <w:r w:rsidRPr="000D730A">
        <w:rPr>
          <w:b/>
          <w:bCs/>
        </w:rPr>
        <w:t xml:space="preserve">[X] ANNUAL REPORT PURSUANT TO SECTION 13 OR 15(d) OF THE SECURITIES EXCHANGE </w:t>
      </w:r>
    </w:p>
    <w:p w:rsidR="00DB33A3" w:rsidRPr="000D730A" w:rsidRDefault="00DB33A3" w:rsidP="00DB33A3">
      <w:pPr>
        <w:jc w:val="center"/>
        <w:rPr>
          <w:b/>
          <w:bCs/>
        </w:rPr>
      </w:pPr>
      <w:r w:rsidRPr="000D730A">
        <w:rPr>
          <w:b/>
          <w:bCs/>
        </w:rPr>
        <w:t xml:space="preserve">ACT OF 1934 </w:t>
      </w:r>
    </w:p>
    <w:p w:rsidR="00DB33A3" w:rsidRPr="000D730A" w:rsidRDefault="00DB33A3" w:rsidP="00DB33A3">
      <w:pPr>
        <w:jc w:val="center"/>
      </w:pPr>
      <w:r w:rsidRPr="000D730A">
        <w:t xml:space="preserve">OR </w:t>
      </w:r>
    </w:p>
    <w:p w:rsidR="00DB33A3" w:rsidRPr="000D730A" w:rsidRDefault="00DB33A3" w:rsidP="00DB33A3">
      <w:pPr>
        <w:jc w:val="center"/>
      </w:pPr>
      <w:r w:rsidRPr="000D730A">
        <w:rPr>
          <w:b/>
          <w:bCs/>
        </w:rPr>
        <w:t xml:space="preserve">[_] TRANSITION REPORT PURSUANT TO SECTION 13 OR 15(d) OF THE SECURITIES </w:t>
      </w:r>
    </w:p>
    <w:p w:rsidR="00DB33A3" w:rsidRPr="000D730A" w:rsidRDefault="00DB33A3" w:rsidP="00DB33A3">
      <w:pPr>
        <w:jc w:val="center"/>
        <w:rPr>
          <w:b/>
          <w:bCs/>
        </w:rPr>
      </w:pPr>
      <w:r w:rsidRPr="000D730A">
        <w:rPr>
          <w:b/>
          <w:bCs/>
        </w:rPr>
        <w:t xml:space="preserve">EXCHANGE ACT OF 1934 </w:t>
      </w:r>
    </w:p>
    <w:p w:rsidR="00DB33A3" w:rsidRPr="000D730A" w:rsidRDefault="00DB33A3" w:rsidP="00DB33A3">
      <w:pPr>
        <w:jc w:val="center"/>
      </w:pPr>
      <w:r w:rsidRPr="000D730A">
        <w:rPr>
          <w:b/>
          <w:bCs/>
        </w:rPr>
        <w:t xml:space="preserve">For the </w:t>
      </w:r>
      <w:r w:rsidRPr="00FE2B6A">
        <w:rPr>
          <w:b/>
          <w:bCs/>
        </w:rPr>
        <w:t xml:space="preserve">Fiscal </w:t>
      </w:r>
      <w:r w:rsidRPr="002E4FA3">
        <w:rPr>
          <w:b/>
          <w:bCs/>
          <w:highlight w:val="yellow"/>
        </w:rPr>
        <w:t>Year Ended December 28, 2001</w:t>
      </w:r>
      <w:r w:rsidRPr="000D730A">
        <w:rPr>
          <w:b/>
          <w:bCs/>
        </w:rPr>
        <w:t xml:space="preserve"> Commission File No. 1-13881 </w:t>
      </w:r>
    </w:p>
    <w:p w:rsidR="00DB33A3" w:rsidRDefault="00DB33A3" w:rsidP="00DB33A3">
      <w:pPr>
        <w:spacing w:before="100" w:beforeAutospacing="1" w:after="100" w:afterAutospacing="1"/>
        <w:rPr>
          <w:b/>
          <w:bCs/>
        </w:rPr>
      </w:pPr>
    </w:p>
    <w:p w:rsidR="00DB33A3" w:rsidRPr="001715F8" w:rsidRDefault="00DB33A3" w:rsidP="00DB33A3">
      <w:pPr>
        <w:spacing w:before="100" w:beforeAutospacing="1" w:after="100" w:afterAutospacing="1"/>
      </w:pPr>
      <w:r w:rsidRPr="001715F8">
        <w:rPr>
          <w:b/>
          <w:bCs/>
        </w:rPr>
        <w:t xml:space="preserve">CONTINGENT LIABILITIES </w:t>
      </w:r>
    </w:p>
    <w:p w:rsidR="00DB33A3" w:rsidRPr="001715F8" w:rsidRDefault="00DB33A3" w:rsidP="00DB33A3">
      <w:pPr>
        <w:spacing w:before="100" w:beforeAutospacing="1" w:after="100" w:afterAutospacing="1"/>
      </w:pPr>
      <w:r w:rsidRPr="001715F8">
        <w:t xml:space="preserve">We issue guarantees to lenders and other third parties in connection with financing transactions and other obligations. These guarantees were limited, in the aggregate, to $574 million at December 28, </w:t>
      </w:r>
      <w:r w:rsidRPr="001715F8">
        <w:lastRenderedPageBreak/>
        <w:t xml:space="preserve">2001, including guarantees involving major customers. As discussed below (see "Restructuring Costs and Other Charges"), we expect to fund $33 million of guarantee obligations in 2002. In addition, we have made an uncapped physical completion guaranty relating to one hotel property with minimal expected funding. As of December 28, 2001, we had extended approximately $669 million of loan commitments to owners of lodging properties and senior living communities under which we expect to fund approximately $187 million by January 3, 2003, and $334 million in total. Letters of credit outstanding on our behalf at December 28, 2001, totaled $77 million, the majority of which related to our self-insurance programs. At December 28, 2001, we had repurchase obligations of $46 million related to notes receivable from timeshare interval purchasers, which have been sold with limited recourse. </w:t>
      </w:r>
    </w:p>
    <w:p w:rsidR="00DB33A3" w:rsidRPr="001715F8" w:rsidRDefault="00DB33A3" w:rsidP="00DB33A3">
      <w:pPr>
        <w:spacing w:before="100" w:beforeAutospacing="1" w:after="100" w:afterAutospacing="1"/>
      </w:pPr>
      <w:r w:rsidRPr="001715F8">
        <w:t xml:space="preserve">New World Development and another affiliate of Dr. Henry Cheng </w:t>
      </w:r>
      <w:proofErr w:type="spellStart"/>
      <w:r w:rsidRPr="001715F8">
        <w:t>Kar</w:t>
      </w:r>
      <w:proofErr w:type="spellEnd"/>
      <w:r w:rsidRPr="001715F8">
        <w:t xml:space="preserve">-Shun have severally indemnified us for guarantees by us of leases with minimum annual payments of approximately $57 million. </w:t>
      </w:r>
      <w:r>
        <w:t>[LK: They are the CFT/HPI owners]</w:t>
      </w:r>
    </w:p>
    <w:p w:rsidR="00DB33A3" w:rsidRPr="001715F8" w:rsidRDefault="00DB33A3" w:rsidP="00DB33A3">
      <w:pPr>
        <w:spacing w:before="100" w:beforeAutospacing="1" w:after="100" w:afterAutospacing="1"/>
      </w:pPr>
      <w:r w:rsidRPr="001715F8">
        <w:t xml:space="preserve">On March 30, 2001, </w:t>
      </w:r>
      <w:r w:rsidRPr="001715F8">
        <w:rPr>
          <w:highlight w:val="yellow"/>
        </w:rPr>
        <w:t>Green Isle Partners, Ltd.,</w:t>
      </w:r>
      <w:r w:rsidRPr="001715F8">
        <w:t xml:space="preserve"> S.E. (Green Isle) filed a 63-page complaint in Federal district court in Delaware </w:t>
      </w:r>
      <w:r w:rsidRPr="001715F8">
        <w:rPr>
          <w:highlight w:val="yellow"/>
        </w:rPr>
        <w:t xml:space="preserve">against The Ritz-Carlton Hotel Company, L.L.C., The Ritz-Carlton Hotel Company of Puerto Rico, Inc. (Ritz-Carlton Puerto Rico), Marriott International, Inc., Marriott Distribution Services, Inc., Marriott International Capital Corp. and </w:t>
      </w:r>
      <w:proofErr w:type="spellStart"/>
      <w:r w:rsidRPr="001715F8">
        <w:rPr>
          <w:highlight w:val="yellow"/>
        </w:rPr>
        <w:t>Avendra</w:t>
      </w:r>
      <w:proofErr w:type="spellEnd"/>
      <w:r w:rsidRPr="001715F8">
        <w:rPr>
          <w:highlight w:val="yellow"/>
        </w:rPr>
        <w:t xml:space="preserve"> L.L.C</w:t>
      </w:r>
      <w:r w:rsidRPr="001715F8">
        <w:t xml:space="preserve">. (Green Isle Partners, Ltd. S.E., v. The Ritz-Carlton Hotel Company, L.L.C., et al, civil action no. 01-202). Ritz-Carlton Puerto Rico manages The Ritz-Carlton San Juan Hotel, Spa and Casino located in San Juan, Puerto Rico, under an operating agreement with Green Isle dated December 15, 1995 (the Operating Agreement). </w:t>
      </w:r>
    </w:p>
    <w:p w:rsidR="00DB33A3" w:rsidRPr="001715F8" w:rsidRDefault="00DB33A3" w:rsidP="00DB33A3">
      <w:pPr>
        <w:spacing w:before="100" w:beforeAutospacing="1" w:after="100" w:afterAutospacing="1"/>
      </w:pPr>
      <w:r w:rsidRPr="001715F8">
        <w:t>The claim asserts 11 causes of action: three Racketeer Influenced and Corrupt Organizations Act (RICO) claims, together with claims based on the Robinson-</w:t>
      </w:r>
      <w:proofErr w:type="spellStart"/>
      <w:r w:rsidRPr="001715F8">
        <w:t>Patman</w:t>
      </w:r>
      <w:proofErr w:type="spellEnd"/>
      <w:r w:rsidRPr="001715F8">
        <w:t xml:space="preserve"> Act, breach of contract, breach of fiduciary duty, aiding and abetting a breach of fiduciary duty, breach of implied duties of good faith and fair dealing, common law fraud and intentional misrepresentation, negligent misrepresentation, and fiduciary accounting. The complaint does not request termination of the Operating Agreement. </w:t>
      </w:r>
    </w:p>
    <w:p w:rsidR="00DB33A3" w:rsidRPr="001715F8" w:rsidRDefault="00DB33A3" w:rsidP="00DB33A3">
      <w:pPr>
        <w:spacing w:before="100" w:beforeAutospacing="1" w:after="100" w:afterAutospacing="1"/>
      </w:pPr>
      <w:r w:rsidRPr="001715F8">
        <w:t xml:space="preserve">The claim includes </w:t>
      </w:r>
      <w:r w:rsidRPr="001715F8">
        <w:rPr>
          <w:highlight w:val="yellow"/>
        </w:rPr>
        <w:t>allegations of: (</w:t>
      </w:r>
      <w:proofErr w:type="spellStart"/>
      <w:r w:rsidRPr="001715F8">
        <w:rPr>
          <w:highlight w:val="yellow"/>
        </w:rPr>
        <w:t>i</w:t>
      </w:r>
      <w:proofErr w:type="spellEnd"/>
      <w:r w:rsidRPr="001715F8">
        <w:rPr>
          <w:highlight w:val="yellow"/>
        </w:rPr>
        <w:t xml:space="preserve">) national, non-competitive contracts and attendant </w:t>
      </w:r>
      <w:r w:rsidRPr="001715F8">
        <w:rPr>
          <w:b/>
          <w:highlight w:val="yellow"/>
        </w:rPr>
        <w:t>kick-back</w:t>
      </w:r>
      <w:r w:rsidRPr="001715F8">
        <w:rPr>
          <w:highlight w:val="yellow"/>
        </w:rPr>
        <w:t xml:space="preserve"> schemes; (ii) </w:t>
      </w:r>
      <w:r w:rsidRPr="001715F8">
        <w:rPr>
          <w:b/>
          <w:highlight w:val="yellow"/>
        </w:rPr>
        <w:t>concealing transactions with affiliates</w:t>
      </w:r>
      <w:r w:rsidRPr="001715F8">
        <w:rPr>
          <w:highlight w:val="yellow"/>
        </w:rPr>
        <w:t xml:space="preserve">; </w:t>
      </w:r>
      <w:r w:rsidRPr="001715F8">
        <w:rPr>
          <w:highlight w:val="yellow"/>
        </w:rPr>
        <w:br/>
        <w:t xml:space="preserve">(iii) false entries in the books and manipulation of accounts payable and receivable; (iv) excessive compensation schemes and fraudulent expense accounts; </w:t>
      </w:r>
      <w:r w:rsidRPr="001715F8">
        <w:rPr>
          <w:highlight w:val="yellow"/>
        </w:rPr>
        <w:br/>
        <w:t>(v) charges of prohibited overhead costs to the project; (vi) charges of prohibited procurement costs; (vii) inflation of Group Service Expense; (viii) the use of prohibited or falsified revenues; (ix) attempts to oust Green Isle from ownership; (x) creating a financial crisis and then attempting to exploit it by seeking an economically oppressive contract in connection with a loan; (xi) providing incorrect cash flow figures and failing to appropriately reveal and explain revised cash flow figures.</w:t>
      </w:r>
      <w:r w:rsidRPr="001715F8">
        <w:t xml:space="preserve"> </w:t>
      </w:r>
    </w:p>
    <w:p w:rsidR="00DB33A3" w:rsidRPr="001715F8" w:rsidRDefault="00DB33A3" w:rsidP="00DB33A3">
      <w:pPr>
        <w:jc w:val="center"/>
      </w:pPr>
      <w:r w:rsidRPr="001715F8">
        <w:t xml:space="preserve">56 </w:t>
      </w:r>
    </w:p>
    <w:p w:rsidR="00DB33A3" w:rsidRPr="001715F8" w:rsidRDefault="00B80FA7" w:rsidP="00DB33A3">
      <w:r>
        <w:pict>
          <v:rect id="_x0000_i1025" style="width:0;height:1.5pt" o:hralign="center" o:hrstd="t" o:hr="t" fillcolor="gray" stroked="f"/>
        </w:pict>
      </w:r>
    </w:p>
    <w:p w:rsidR="00DB33A3" w:rsidRPr="001715F8" w:rsidRDefault="00DB33A3" w:rsidP="00DB33A3">
      <w:r w:rsidRPr="001715F8">
        <w:lastRenderedPageBreak/>
        <w:t>The complaint seeks as damages the $140 million, which Green Isle claims to have invested in the hotel (which includes $85 million in third-party debt), which the plaintiffs seek to treble to $420 million under RICO and the Robinson-</w:t>
      </w:r>
      <w:proofErr w:type="spellStart"/>
      <w:r w:rsidRPr="001715F8">
        <w:t>Patman</w:t>
      </w:r>
      <w:proofErr w:type="spellEnd"/>
      <w:r w:rsidRPr="001715F8">
        <w:t xml:space="preserve"> Act. </w:t>
      </w:r>
    </w:p>
    <w:p w:rsidR="00DB33A3" w:rsidRPr="001715F8" w:rsidRDefault="00DB33A3" w:rsidP="00DB33A3">
      <w:pPr>
        <w:spacing w:before="100" w:beforeAutospacing="1" w:after="100" w:afterAutospacing="1"/>
      </w:pPr>
      <w:r w:rsidRPr="001715F8">
        <w:t xml:space="preserve">On November 11, 2001, the court granted defendants' motion to transfer and subsequently did transfer the matter to the United States District Court for the district of Puerto Rico. On May 25, 2001, defendants moved to dismiss the complaint or, alternatively, to stay or transfer. On June 25, 2001, Green Isle filed its Chapter 11 Bankruptcy Petition in the Southern District of Florida. </w:t>
      </w:r>
    </w:p>
    <w:p w:rsidR="00DB33A3" w:rsidRPr="001715F8" w:rsidRDefault="00DB33A3" w:rsidP="00DB33A3">
      <w:pPr>
        <w:spacing w:before="100" w:beforeAutospacing="1" w:after="100" w:afterAutospacing="1"/>
      </w:pPr>
      <w:r w:rsidRPr="001715F8">
        <w:t xml:space="preserve">Although </w:t>
      </w:r>
      <w:r w:rsidRPr="00C55E4C">
        <w:rPr>
          <w:highlight w:val="yellow"/>
        </w:rPr>
        <w:t>we believe that the lawsuit described above is without merit</w:t>
      </w:r>
      <w:r w:rsidRPr="001715F8">
        <w:t xml:space="preserve">, and we intend to vigorously defend against the claims being made against us, we cannot assure you as to the outcome of this lawsuit nor can we currently estimate the range of any potential loss to the Company. </w:t>
      </w:r>
    </w:p>
    <w:p w:rsidR="00DB33A3" w:rsidRDefault="00B80FA7" w:rsidP="00DB33A3">
      <w:hyperlink r:id="rId5" w:history="1">
        <w:r w:rsidR="00DB33A3" w:rsidRPr="007A05E8">
          <w:rPr>
            <w:rStyle w:val="Hyperlink"/>
          </w:rPr>
          <w:t>https://investor.shareholder.com/mar/secfiling.cfm?filingID=928385-02-921</w:t>
        </w:r>
      </w:hyperlink>
    </w:p>
    <w:p w:rsidR="00DB33A3" w:rsidRDefault="00B80FA7" w:rsidP="00DB33A3">
      <w:pPr>
        <w:pStyle w:val="HTMLPreformatted"/>
      </w:pPr>
      <w:hyperlink r:id="rId6" w:history="1">
        <w:r w:rsidR="00DB33A3" w:rsidRPr="000D1B67">
          <w:rPr>
            <w:rStyle w:val="Hyperlink"/>
          </w:rPr>
          <w:t>http://www.getfilings.com/o0000928385-02-002533.html</w:t>
        </w:r>
      </w:hyperlink>
    </w:p>
    <w:p w:rsidR="00DB33A3" w:rsidRDefault="00DB33A3" w:rsidP="00DB33A3">
      <w:pPr>
        <w:pStyle w:val="HTMLPreformatted"/>
      </w:pPr>
      <w:r>
        <w:t>SECURITIES AND EXCHANGE COMMISSION</w:t>
      </w:r>
      <w:r>
        <w:br/>
      </w:r>
    </w:p>
    <w:p w:rsidR="00DB33A3" w:rsidRDefault="00DB33A3" w:rsidP="00DB33A3">
      <w:pPr>
        <w:pStyle w:val="HTMLPreformatted"/>
      </w:pPr>
      <w:r>
        <w:br/>
      </w:r>
    </w:p>
    <w:p w:rsidR="00DB33A3" w:rsidRDefault="00DB33A3" w:rsidP="00DB33A3">
      <w:pPr>
        <w:pStyle w:val="HTMLPreformatted"/>
      </w:pPr>
      <w:r>
        <w:t xml:space="preserve">                             Washington, D.C. 20549</w:t>
      </w:r>
      <w:r>
        <w:br/>
      </w:r>
    </w:p>
    <w:p w:rsidR="00DB33A3" w:rsidRDefault="00DB33A3" w:rsidP="00DB33A3">
      <w:pPr>
        <w:pStyle w:val="HTMLPreformatted"/>
      </w:pPr>
      <w:r>
        <w:br/>
      </w:r>
    </w:p>
    <w:p w:rsidR="00DB33A3" w:rsidRDefault="00DB33A3" w:rsidP="00DB33A3">
      <w:pPr>
        <w:pStyle w:val="HTMLPreformatted"/>
      </w:pPr>
      <w:r>
        <w:t xml:space="preserve">                                    FORM 10-Q</w:t>
      </w:r>
      <w:r>
        <w:br/>
      </w:r>
    </w:p>
    <w:p w:rsidR="00DB33A3" w:rsidRDefault="00DB33A3" w:rsidP="00DB33A3">
      <w:pPr>
        <w:pStyle w:val="HTMLPreformatted"/>
      </w:pPr>
      <w:r>
        <w:br/>
      </w:r>
    </w:p>
    <w:p w:rsidR="00DB33A3" w:rsidRDefault="00DB33A3" w:rsidP="00DB33A3">
      <w:pPr>
        <w:pStyle w:val="HTMLPreformatted"/>
      </w:pPr>
      <w:r>
        <w:t>[X</w:t>
      </w:r>
      <w:proofErr w:type="gramStart"/>
      <w:r>
        <w:t>]  QUARTERLY</w:t>
      </w:r>
      <w:proofErr w:type="gramEnd"/>
      <w:r>
        <w:t xml:space="preserve"> REPORT PURSUANT TO SECTION 13 OR 15(d) OF THE SECURITIES EXCHANGE ACT OF 1934</w:t>
      </w:r>
      <w:r>
        <w:br/>
      </w:r>
    </w:p>
    <w:p w:rsidR="00DB33A3" w:rsidRDefault="00DB33A3" w:rsidP="00DB33A3">
      <w:pPr>
        <w:pStyle w:val="HTMLPreformatted"/>
      </w:pPr>
    </w:p>
    <w:p w:rsidR="00DB33A3" w:rsidRDefault="00DB33A3" w:rsidP="00DB33A3">
      <w:pPr>
        <w:pStyle w:val="HTMLPreformatted"/>
      </w:pPr>
      <w:r w:rsidRPr="00F7458A">
        <w:rPr>
          <w:highlight w:val="yellow"/>
        </w:rPr>
        <w:t>For the Quarter Ended June 14, 2002</w:t>
      </w:r>
      <w:r>
        <w:t xml:space="preserve">                  Commission File No. 1-13881</w:t>
      </w:r>
      <w:r>
        <w:br/>
      </w:r>
    </w:p>
    <w:p w:rsidR="00DB33A3" w:rsidRDefault="00DB33A3" w:rsidP="00DB33A3">
      <w:pPr>
        <w:pStyle w:val="HTMLPreformatted"/>
      </w:pPr>
      <w:r>
        <w:br/>
      </w:r>
    </w:p>
    <w:p w:rsidR="00DB33A3" w:rsidRDefault="00DB33A3" w:rsidP="00DB33A3">
      <w:pPr>
        <w:pStyle w:val="HTMLPreformatted"/>
      </w:pPr>
      <w:r>
        <w:t xml:space="preserve">                          MARRIOTT INTERNATIONAL, INC.</w:t>
      </w:r>
    </w:p>
    <w:p w:rsidR="00DB33A3" w:rsidRDefault="00DB33A3" w:rsidP="00DB33A3">
      <w:pPr>
        <w:pStyle w:val="HTMLPreformatted"/>
      </w:pPr>
    </w:p>
    <w:p w:rsidR="00DB33A3" w:rsidRDefault="00DB33A3" w:rsidP="00DB33A3">
      <w:pPr>
        <w:pStyle w:val="HTMLPreformatted"/>
      </w:pPr>
    </w:p>
    <w:p w:rsidR="00DB33A3" w:rsidRPr="001247B4" w:rsidRDefault="00DB33A3" w:rsidP="00DB33A3">
      <w:pPr>
        <w:pStyle w:val="HTMLPreformatted"/>
        <w:rPr>
          <w:sz w:val="16"/>
          <w:szCs w:val="16"/>
        </w:rPr>
      </w:pPr>
      <w:r w:rsidRPr="001247B4">
        <w:rPr>
          <w:sz w:val="16"/>
          <w:szCs w:val="16"/>
        </w:rPr>
        <w:t>On March 30, 2001, Green Isle Partners, Ltd., S.E. (Green Isle) filed a</w:t>
      </w:r>
      <w:r w:rsidRPr="001247B4">
        <w:rPr>
          <w:sz w:val="16"/>
          <w:szCs w:val="16"/>
        </w:rPr>
        <w:br/>
      </w:r>
    </w:p>
    <w:p w:rsidR="00DB33A3" w:rsidRPr="001247B4" w:rsidRDefault="00DB33A3" w:rsidP="00DB33A3">
      <w:pPr>
        <w:pStyle w:val="HTMLPreformatted"/>
        <w:rPr>
          <w:sz w:val="16"/>
          <w:szCs w:val="16"/>
          <w:highlight w:val="yellow"/>
        </w:rPr>
      </w:pPr>
      <w:r w:rsidRPr="001247B4">
        <w:rPr>
          <w:sz w:val="16"/>
          <w:szCs w:val="16"/>
        </w:rPr>
        <w:t xml:space="preserve">     </w:t>
      </w:r>
      <w:r w:rsidRPr="001247B4">
        <w:rPr>
          <w:sz w:val="16"/>
          <w:szCs w:val="16"/>
          <w:highlight w:val="yellow"/>
        </w:rPr>
        <w:t>63-page complaint in Federal District Court in Delaware against The</w:t>
      </w:r>
      <w:r w:rsidRPr="001247B4">
        <w:rPr>
          <w:sz w:val="16"/>
          <w:szCs w:val="16"/>
          <w:highlight w:val="yellow"/>
        </w:rPr>
        <w:br/>
      </w:r>
    </w:p>
    <w:p w:rsidR="00DB33A3" w:rsidRPr="001247B4" w:rsidRDefault="00DB33A3" w:rsidP="00DB33A3">
      <w:pPr>
        <w:pStyle w:val="HTMLPreformatted"/>
        <w:rPr>
          <w:sz w:val="16"/>
          <w:szCs w:val="16"/>
          <w:highlight w:val="yellow"/>
        </w:rPr>
      </w:pPr>
      <w:r w:rsidRPr="001247B4">
        <w:rPr>
          <w:sz w:val="16"/>
          <w:szCs w:val="16"/>
          <w:highlight w:val="yellow"/>
        </w:rPr>
        <w:t xml:space="preserve">     Ritz-Carlton Hotel Company, L.L.C., </w:t>
      </w:r>
      <w:proofErr w:type="gramStart"/>
      <w:r w:rsidRPr="001247B4">
        <w:rPr>
          <w:sz w:val="16"/>
          <w:szCs w:val="16"/>
          <w:highlight w:val="yellow"/>
        </w:rPr>
        <w:t>The</w:t>
      </w:r>
      <w:proofErr w:type="gramEnd"/>
      <w:r w:rsidRPr="001247B4">
        <w:rPr>
          <w:sz w:val="16"/>
          <w:szCs w:val="16"/>
          <w:highlight w:val="yellow"/>
        </w:rPr>
        <w:t xml:space="preserve"> Ritz-Carlton Hotel Company of</w:t>
      </w:r>
      <w:r w:rsidRPr="001247B4">
        <w:rPr>
          <w:sz w:val="16"/>
          <w:szCs w:val="16"/>
          <w:highlight w:val="yellow"/>
        </w:rPr>
        <w:br/>
      </w:r>
    </w:p>
    <w:p w:rsidR="00DB33A3" w:rsidRPr="001247B4" w:rsidRDefault="00DB33A3" w:rsidP="00DB33A3">
      <w:pPr>
        <w:pStyle w:val="HTMLPreformatted"/>
        <w:rPr>
          <w:sz w:val="16"/>
          <w:szCs w:val="16"/>
          <w:highlight w:val="yellow"/>
          <w:lang w:val="es-ES"/>
        </w:rPr>
      </w:pPr>
      <w:r w:rsidRPr="001247B4">
        <w:rPr>
          <w:sz w:val="16"/>
          <w:szCs w:val="16"/>
          <w:highlight w:val="yellow"/>
        </w:rPr>
        <w:t xml:space="preserve">     </w:t>
      </w:r>
      <w:r w:rsidRPr="001247B4">
        <w:rPr>
          <w:sz w:val="16"/>
          <w:szCs w:val="16"/>
          <w:highlight w:val="yellow"/>
          <w:lang w:val="es-ES"/>
        </w:rPr>
        <w:t>Puerto Rico, Inc. (Ritz-</w:t>
      </w:r>
      <w:proofErr w:type="spellStart"/>
      <w:r w:rsidRPr="001247B4">
        <w:rPr>
          <w:sz w:val="16"/>
          <w:szCs w:val="16"/>
          <w:highlight w:val="yellow"/>
          <w:lang w:val="es-ES"/>
        </w:rPr>
        <w:t>Carlton</w:t>
      </w:r>
      <w:proofErr w:type="spellEnd"/>
      <w:r w:rsidRPr="001247B4">
        <w:rPr>
          <w:sz w:val="16"/>
          <w:szCs w:val="16"/>
          <w:highlight w:val="yellow"/>
          <w:lang w:val="es-ES"/>
        </w:rPr>
        <w:t xml:space="preserve"> Puerto Rico), </w:t>
      </w:r>
      <w:proofErr w:type="spellStart"/>
      <w:r w:rsidRPr="001247B4">
        <w:rPr>
          <w:sz w:val="16"/>
          <w:szCs w:val="16"/>
          <w:highlight w:val="yellow"/>
          <w:lang w:val="es-ES"/>
        </w:rPr>
        <w:t>Marriott</w:t>
      </w:r>
      <w:proofErr w:type="spellEnd"/>
      <w:r w:rsidRPr="001247B4">
        <w:rPr>
          <w:sz w:val="16"/>
          <w:szCs w:val="16"/>
          <w:highlight w:val="yellow"/>
          <w:lang w:val="es-ES"/>
        </w:rPr>
        <w:t xml:space="preserve"> International, Inc.,</w:t>
      </w:r>
      <w:r w:rsidRPr="001247B4">
        <w:rPr>
          <w:sz w:val="16"/>
          <w:szCs w:val="16"/>
          <w:highlight w:val="yellow"/>
          <w:lang w:val="es-ES"/>
        </w:rPr>
        <w:br/>
      </w:r>
    </w:p>
    <w:p w:rsidR="00DB33A3" w:rsidRPr="001247B4" w:rsidRDefault="00DB33A3" w:rsidP="00DB33A3">
      <w:pPr>
        <w:pStyle w:val="HTMLPreformatted"/>
        <w:rPr>
          <w:sz w:val="16"/>
          <w:szCs w:val="16"/>
          <w:highlight w:val="yellow"/>
        </w:rPr>
      </w:pPr>
      <w:r w:rsidRPr="001247B4">
        <w:rPr>
          <w:sz w:val="16"/>
          <w:szCs w:val="16"/>
          <w:highlight w:val="yellow"/>
          <w:lang w:val="es-ES"/>
        </w:rPr>
        <w:t xml:space="preserve">     </w:t>
      </w:r>
      <w:r w:rsidRPr="001247B4">
        <w:rPr>
          <w:sz w:val="16"/>
          <w:szCs w:val="16"/>
          <w:highlight w:val="yellow"/>
        </w:rPr>
        <w:t>Marriott Distribution Services, Inc., Marriott International Capital Corp.</w:t>
      </w:r>
      <w:r w:rsidRPr="001247B4">
        <w:rPr>
          <w:sz w:val="16"/>
          <w:szCs w:val="16"/>
          <w:highlight w:val="yellow"/>
        </w:rPr>
        <w:br/>
      </w:r>
    </w:p>
    <w:p w:rsidR="00DB33A3" w:rsidRPr="001247B4" w:rsidRDefault="00DB33A3" w:rsidP="00DB33A3">
      <w:pPr>
        <w:pStyle w:val="HTMLPreformatted"/>
        <w:rPr>
          <w:sz w:val="16"/>
          <w:szCs w:val="16"/>
        </w:rPr>
      </w:pPr>
      <w:r w:rsidRPr="001247B4">
        <w:rPr>
          <w:sz w:val="16"/>
          <w:szCs w:val="16"/>
          <w:highlight w:val="yellow"/>
        </w:rPr>
        <w:t xml:space="preserve">     </w:t>
      </w:r>
      <w:proofErr w:type="gramStart"/>
      <w:r w:rsidRPr="001247B4">
        <w:rPr>
          <w:sz w:val="16"/>
          <w:szCs w:val="16"/>
          <w:highlight w:val="yellow"/>
        </w:rPr>
        <w:t>and</w:t>
      </w:r>
      <w:proofErr w:type="gramEnd"/>
      <w:r w:rsidRPr="001247B4">
        <w:rPr>
          <w:sz w:val="16"/>
          <w:szCs w:val="16"/>
          <w:highlight w:val="yellow"/>
        </w:rPr>
        <w:t xml:space="preserve"> </w:t>
      </w:r>
      <w:proofErr w:type="spellStart"/>
      <w:r w:rsidRPr="001247B4">
        <w:rPr>
          <w:sz w:val="16"/>
          <w:szCs w:val="16"/>
          <w:highlight w:val="yellow"/>
        </w:rPr>
        <w:t>Avendra</w:t>
      </w:r>
      <w:proofErr w:type="spellEnd"/>
      <w:r w:rsidRPr="001247B4">
        <w:rPr>
          <w:sz w:val="16"/>
          <w:szCs w:val="16"/>
          <w:highlight w:val="yellow"/>
        </w:rPr>
        <w:t xml:space="preserve"> L.L.C. (Green Isle Partners, Ltd. S.E., v. The Ritz-Carlton</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r w:rsidRPr="001247B4">
        <w:rPr>
          <w:sz w:val="16"/>
          <w:szCs w:val="16"/>
          <w:highlight w:val="yellow"/>
        </w:rPr>
        <w:t>Hotel Company, L.L.C., et al, civil action no. 01-202).</w:t>
      </w:r>
      <w:r w:rsidRPr="001247B4">
        <w:rPr>
          <w:sz w:val="16"/>
          <w:szCs w:val="16"/>
        </w:rPr>
        <w:t xml:space="preserve"> Ritz-Carlton Puerto</w:t>
      </w:r>
      <w:r w:rsidRPr="001247B4">
        <w:rPr>
          <w:sz w:val="16"/>
          <w:szCs w:val="16"/>
        </w:rPr>
        <w:br/>
      </w:r>
    </w:p>
    <w:p w:rsidR="00DB33A3" w:rsidRPr="001247B4" w:rsidRDefault="00DB33A3" w:rsidP="00DB33A3">
      <w:pPr>
        <w:pStyle w:val="HTMLPreformatted"/>
        <w:rPr>
          <w:sz w:val="16"/>
          <w:szCs w:val="16"/>
        </w:rPr>
      </w:pPr>
      <w:r w:rsidRPr="001247B4">
        <w:rPr>
          <w:sz w:val="16"/>
          <w:szCs w:val="16"/>
        </w:rPr>
        <w:lastRenderedPageBreak/>
        <w:t xml:space="preserve">     Rico manages </w:t>
      </w:r>
      <w:r w:rsidRPr="001247B4">
        <w:rPr>
          <w:sz w:val="16"/>
          <w:szCs w:val="16"/>
          <w:highlight w:val="yellow"/>
        </w:rPr>
        <w:t>The Ritz-Carlton San Juan Hotel, Spa and Casino</w:t>
      </w:r>
      <w:r w:rsidRPr="001247B4">
        <w:rPr>
          <w:sz w:val="16"/>
          <w:szCs w:val="16"/>
        </w:rPr>
        <w:t xml:space="preserve"> located in San</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Juan, Puerto Rico under an operating agreement with Green Isle dated</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December 15, 1995 (the Operating Agreement).</w:t>
      </w: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The claim asserts 11 causes of action: </w:t>
      </w:r>
      <w:proofErr w:type="gramStart"/>
      <w:r w:rsidRPr="001247B4">
        <w:rPr>
          <w:sz w:val="16"/>
          <w:szCs w:val="16"/>
        </w:rPr>
        <w:t>three Racketeer Influenced</w:t>
      </w:r>
      <w:proofErr w:type="gramEnd"/>
      <w:r w:rsidRPr="001247B4">
        <w:rPr>
          <w:sz w:val="16"/>
          <w:szCs w:val="16"/>
        </w:rPr>
        <w:t xml:space="preserve"> and</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Corrupt Organizations Act (RICO) claims, together with claims based on the</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Robinson-</w:t>
      </w:r>
      <w:proofErr w:type="spellStart"/>
      <w:r w:rsidRPr="001247B4">
        <w:rPr>
          <w:sz w:val="16"/>
          <w:szCs w:val="16"/>
        </w:rPr>
        <w:t>Patman</w:t>
      </w:r>
      <w:proofErr w:type="spellEnd"/>
      <w:r w:rsidRPr="001247B4">
        <w:rPr>
          <w:sz w:val="16"/>
          <w:szCs w:val="16"/>
        </w:rPr>
        <w:t xml:space="preserve"> Act, breach of contract, breach of fiduciary duty, aiding</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and</w:t>
      </w:r>
      <w:proofErr w:type="gramEnd"/>
      <w:r w:rsidRPr="001247B4">
        <w:rPr>
          <w:sz w:val="16"/>
          <w:szCs w:val="16"/>
        </w:rPr>
        <w:t xml:space="preserve"> abetting a breach of fiduciary duty, breach of implied duties of good</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faith</w:t>
      </w:r>
      <w:proofErr w:type="gramEnd"/>
      <w:r w:rsidRPr="001247B4">
        <w:rPr>
          <w:sz w:val="16"/>
          <w:szCs w:val="16"/>
        </w:rPr>
        <w:t xml:space="preserve"> and fair dealing, common law fraud and intentional misrepresentation,</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negligent</w:t>
      </w:r>
      <w:proofErr w:type="gramEnd"/>
      <w:r w:rsidRPr="001247B4">
        <w:rPr>
          <w:sz w:val="16"/>
          <w:szCs w:val="16"/>
        </w:rPr>
        <w:t xml:space="preserve"> misrepresentation, and fiduciary accounting. The complaint does</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not</w:t>
      </w:r>
      <w:proofErr w:type="gramEnd"/>
      <w:r w:rsidRPr="001247B4">
        <w:rPr>
          <w:sz w:val="16"/>
          <w:szCs w:val="16"/>
        </w:rPr>
        <w:t xml:space="preserve"> request termination of the Operating Agreement.</w:t>
      </w: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highlight w:val="yellow"/>
        </w:rPr>
      </w:pPr>
      <w:r w:rsidRPr="001247B4">
        <w:rPr>
          <w:sz w:val="16"/>
          <w:szCs w:val="16"/>
        </w:rPr>
        <w:t xml:space="preserve">     The claim includes allegations of: (</w:t>
      </w:r>
      <w:proofErr w:type="spellStart"/>
      <w:r w:rsidRPr="001247B4">
        <w:rPr>
          <w:sz w:val="16"/>
          <w:szCs w:val="16"/>
        </w:rPr>
        <w:t>i</w:t>
      </w:r>
      <w:proofErr w:type="spellEnd"/>
      <w:r w:rsidRPr="001247B4">
        <w:rPr>
          <w:sz w:val="16"/>
          <w:szCs w:val="16"/>
        </w:rPr>
        <w:t xml:space="preserve">) </w:t>
      </w:r>
      <w:r w:rsidRPr="001247B4">
        <w:rPr>
          <w:sz w:val="16"/>
          <w:szCs w:val="16"/>
          <w:highlight w:val="yellow"/>
        </w:rPr>
        <w:t>national, non-competitive contracts</w:t>
      </w:r>
      <w:r w:rsidRPr="001247B4">
        <w:rPr>
          <w:sz w:val="16"/>
          <w:szCs w:val="16"/>
          <w:highlight w:val="yellow"/>
        </w:rPr>
        <w:br/>
      </w:r>
    </w:p>
    <w:p w:rsidR="00DB33A3" w:rsidRPr="001247B4" w:rsidRDefault="00DB33A3" w:rsidP="00DB33A3">
      <w:pPr>
        <w:pStyle w:val="HTMLPreformatted"/>
        <w:rPr>
          <w:sz w:val="16"/>
          <w:szCs w:val="16"/>
          <w:highlight w:val="yellow"/>
        </w:rPr>
      </w:pPr>
      <w:r w:rsidRPr="001247B4">
        <w:rPr>
          <w:sz w:val="16"/>
          <w:szCs w:val="16"/>
          <w:highlight w:val="yellow"/>
        </w:rPr>
        <w:t xml:space="preserve">     </w:t>
      </w:r>
      <w:proofErr w:type="gramStart"/>
      <w:r w:rsidRPr="001247B4">
        <w:rPr>
          <w:sz w:val="16"/>
          <w:szCs w:val="16"/>
          <w:highlight w:val="yellow"/>
        </w:rPr>
        <w:t>and</w:t>
      </w:r>
      <w:proofErr w:type="gramEnd"/>
      <w:r w:rsidRPr="001247B4">
        <w:rPr>
          <w:sz w:val="16"/>
          <w:szCs w:val="16"/>
          <w:highlight w:val="yellow"/>
        </w:rPr>
        <w:t xml:space="preserve"> attendant kick-back schemes; (ii) concealing transactions with</w:t>
      </w:r>
      <w:r w:rsidRPr="001247B4">
        <w:rPr>
          <w:sz w:val="16"/>
          <w:szCs w:val="16"/>
          <w:highlight w:val="yellow"/>
        </w:rPr>
        <w:br/>
      </w:r>
    </w:p>
    <w:p w:rsidR="00DB33A3" w:rsidRPr="001247B4" w:rsidRDefault="00DB33A3" w:rsidP="00DB33A3">
      <w:pPr>
        <w:pStyle w:val="HTMLPreformatted"/>
        <w:rPr>
          <w:sz w:val="16"/>
          <w:szCs w:val="16"/>
          <w:highlight w:val="yellow"/>
        </w:rPr>
      </w:pPr>
      <w:r w:rsidRPr="001247B4">
        <w:rPr>
          <w:sz w:val="16"/>
          <w:szCs w:val="16"/>
          <w:highlight w:val="yellow"/>
        </w:rPr>
        <w:t xml:space="preserve">     </w:t>
      </w:r>
      <w:proofErr w:type="gramStart"/>
      <w:r w:rsidRPr="001247B4">
        <w:rPr>
          <w:sz w:val="16"/>
          <w:szCs w:val="16"/>
          <w:highlight w:val="yellow"/>
        </w:rPr>
        <w:t>affiliates</w:t>
      </w:r>
      <w:proofErr w:type="gramEnd"/>
      <w:r w:rsidRPr="001247B4">
        <w:rPr>
          <w:sz w:val="16"/>
          <w:szCs w:val="16"/>
          <w:highlight w:val="yellow"/>
        </w:rPr>
        <w:t>; (iii) false entries in the books and manipulation of accounts</w:t>
      </w:r>
      <w:r w:rsidRPr="001247B4">
        <w:rPr>
          <w:sz w:val="16"/>
          <w:szCs w:val="16"/>
          <w:highlight w:val="yellow"/>
        </w:rPr>
        <w:br/>
      </w:r>
    </w:p>
    <w:p w:rsidR="00DB33A3" w:rsidRPr="001247B4" w:rsidRDefault="00DB33A3" w:rsidP="00DB33A3">
      <w:pPr>
        <w:pStyle w:val="HTMLPreformatted"/>
        <w:rPr>
          <w:sz w:val="16"/>
          <w:szCs w:val="16"/>
        </w:rPr>
      </w:pPr>
      <w:r w:rsidRPr="001247B4">
        <w:rPr>
          <w:sz w:val="16"/>
          <w:szCs w:val="16"/>
          <w:highlight w:val="yellow"/>
        </w:rPr>
        <w:t xml:space="preserve">     </w:t>
      </w:r>
      <w:proofErr w:type="gramStart"/>
      <w:r w:rsidRPr="001247B4">
        <w:rPr>
          <w:sz w:val="16"/>
          <w:szCs w:val="16"/>
          <w:highlight w:val="yellow"/>
        </w:rPr>
        <w:t>payable</w:t>
      </w:r>
      <w:proofErr w:type="gramEnd"/>
      <w:r w:rsidRPr="001247B4">
        <w:rPr>
          <w:sz w:val="16"/>
          <w:szCs w:val="16"/>
          <w:highlight w:val="yellow"/>
        </w:rPr>
        <w:t xml:space="preserve"> and receivable</w:t>
      </w:r>
      <w:r w:rsidRPr="001247B4">
        <w:rPr>
          <w:sz w:val="16"/>
          <w:szCs w:val="16"/>
        </w:rPr>
        <w:t>; (iv) excessive compensation schemes and fraudulent</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expense</w:t>
      </w:r>
      <w:proofErr w:type="gramEnd"/>
      <w:r w:rsidRPr="001247B4">
        <w:rPr>
          <w:sz w:val="16"/>
          <w:szCs w:val="16"/>
        </w:rPr>
        <w:t xml:space="preserve"> accounts; (v) charges of prohibited overhead costs to the project;</w:t>
      </w:r>
      <w:r w:rsidRPr="001247B4">
        <w:rPr>
          <w:sz w:val="16"/>
          <w:szCs w:val="16"/>
        </w:rPr>
        <w:br/>
      </w:r>
    </w:p>
    <w:p w:rsidR="00DB33A3" w:rsidRPr="001247B4" w:rsidRDefault="00DB33A3" w:rsidP="00DB33A3">
      <w:pPr>
        <w:pStyle w:val="HTMLPreformatted"/>
        <w:rPr>
          <w:sz w:val="16"/>
          <w:szCs w:val="16"/>
          <w:highlight w:val="yellow"/>
        </w:rPr>
      </w:pPr>
      <w:r w:rsidRPr="001247B4">
        <w:rPr>
          <w:sz w:val="16"/>
          <w:szCs w:val="16"/>
        </w:rPr>
        <w:t xml:space="preserve">     (vi) </w:t>
      </w:r>
      <w:proofErr w:type="gramStart"/>
      <w:r w:rsidRPr="001247B4">
        <w:rPr>
          <w:sz w:val="16"/>
          <w:szCs w:val="16"/>
        </w:rPr>
        <w:t>charges</w:t>
      </w:r>
      <w:proofErr w:type="gramEnd"/>
      <w:r w:rsidRPr="001247B4">
        <w:rPr>
          <w:sz w:val="16"/>
          <w:szCs w:val="16"/>
        </w:rPr>
        <w:t xml:space="preserve"> of prohibited procurement costs; (vii) </w:t>
      </w:r>
      <w:r w:rsidRPr="001247B4">
        <w:rPr>
          <w:sz w:val="16"/>
          <w:szCs w:val="16"/>
          <w:highlight w:val="yellow"/>
        </w:rPr>
        <w:t>inflation of Group</w:t>
      </w:r>
      <w:r w:rsidRPr="001247B4">
        <w:rPr>
          <w:sz w:val="16"/>
          <w:szCs w:val="16"/>
          <w:highlight w:val="yellow"/>
        </w:rPr>
        <w:br/>
      </w:r>
    </w:p>
    <w:p w:rsidR="00DB33A3" w:rsidRPr="001247B4" w:rsidRDefault="00DB33A3" w:rsidP="00DB33A3">
      <w:pPr>
        <w:pStyle w:val="HTMLPreformatted"/>
        <w:rPr>
          <w:sz w:val="16"/>
          <w:szCs w:val="16"/>
        </w:rPr>
      </w:pPr>
      <w:r w:rsidRPr="001247B4">
        <w:rPr>
          <w:sz w:val="16"/>
          <w:szCs w:val="16"/>
          <w:highlight w:val="yellow"/>
        </w:rPr>
        <w:t xml:space="preserve">     Service Expense;</w:t>
      </w:r>
      <w:r w:rsidRPr="001247B4">
        <w:rPr>
          <w:sz w:val="16"/>
          <w:szCs w:val="16"/>
        </w:rPr>
        <w:t xml:space="preserve"> (viii) the use of prohibited or falsified revenues; (ix)</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attempts</w:t>
      </w:r>
      <w:proofErr w:type="gramEnd"/>
      <w:r w:rsidRPr="001247B4">
        <w:rPr>
          <w:sz w:val="16"/>
          <w:szCs w:val="16"/>
        </w:rPr>
        <w:t xml:space="preserve"> to oust Green Isle from ownership; (x) creating a financial crisis</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and</w:t>
      </w:r>
      <w:proofErr w:type="gramEnd"/>
      <w:r w:rsidRPr="001247B4">
        <w:rPr>
          <w:sz w:val="16"/>
          <w:szCs w:val="16"/>
        </w:rPr>
        <w:t xml:space="preserve"> then attempting to exploit it by seeking an economically oppressive</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contract</w:t>
      </w:r>
      <w:proofErr w:type="gramEnd"/>
      <w:r w:rsidRPr="001247B4">
        <w:rPr>
          <w:sz w:val="16"/>
          <w:szCs w:val="16"/>
        </w:rPr>
        <w:t xml:space="preserve"> in connection with a loan; (xi) providing incorrect cash flow</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figures</w:t>
      </w:r>
      <w:proofErr w:type="gramEnd"/>
      <w:r w:rsidRPr="001247B4">
        <w:rPr>
          <w:sz w:val="16"/>
          <w:szCs w:val="16"/>
        </w:rPr>
        <w:t xml:space="preserve"> and failing appropriately to reveal and explain revised cash flow</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figures</w:t>
      </w:r>
      <w:proofErr w:type="gramEnd"/>
      <w:r w:rsidRPr="001247B4">
        <w:rPr>
          <w:sz w:val="16"/>
          <w:szCs w:val="16"/>
        </w:rPr>
        <w:t>.</w:t>
      </w: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The complaint seeks as damages the $140 million which Green Isle claims to</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have</w:t>
      </w:r>
      <w:proofErr w:type="gramEnd"/>
      <w:r w:rsidRPr="001247B4">
        <w:rPr>
          <w:sz w:val="16"/>
          <w:szCs w:val="16"/>
        </w:rPr>
        <w:t xml:space="preserve"> invested in the hotel (which includes $85 million in third party</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debt</w:t>
      </w:r>
      <w:proofErr w:type="gramEnd"/>
      <w:r w:rsidRPr="001247B4">
        <w:rPr>
          <w:sz w:val="16"/>
          <w:szCs w:val="16"/>
        </w:rPr>
        <w:t>), which the plaintiffs seek to treble to $420 million under RICO and</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the</w:t>
      </w:r>
      <w:proofErr w:type="gramEnd"/>
      <w:r w:rsidRPr="001247B4">
        <w:rPr>
          <w:sz w:val="16"/>
          <w:szCs w:val="16"/>
        </w:rPr>
        <w:t xml:space="preserve"> Robinson-</w:t>
      </w:r>
      <w:proofErr w:type="spellStart"/>
      <w:r w:rsidRPr="001247B4">
        <w:rPr>
          <w:sz w:val="16"/>
          <w:szCs w:val="16"/>
        </w:rPr>
        <w:t>Patman</w:t>
      </w:r>
      <w:proofErr w:type="spellEnd"/>
      <w:r w:rsidRPr="001247B4">
        <w:rPr>
          <w:sz w:val="16"/>
          <w:szCs w:val="16"/>
        </w:rPr>
        <w:t xml:space="preserve"> Act.</w:t>
      </w: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15</w:t>
      </w: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On May 25, 2001, defendants moved to dismiss the complaint or,</w:t>
      </w:r>
      <w:r w:rsidRPr="001247B4">
        <w:rPr>
          <w:sz w:val="16"/>
          <w:szCs w:val="16"/>
        </w:rPr>
        <w:br/>
      </w:r>
    </w:p>
    <w:p w:rsidR="00DB33A3" w:rsidRPr="001247B4" w:rsidRDefault="00DB33A3" w:rsidP="00DB33A3">
      <w:pPr>
        <w:pStyle w:val="HTMLPreformatted"/>
        <w:rPr>
          <w:sz w:val="16"/>
          <w:szCs w:val="16"/>
        </w:rPr>
      </w:pPr>
      <w:r w:rsidRPr="001247B4">
        <w:rPr>
          <w:sz w:val="16"/>
          <w:szCs w:val="16"/>
        </w:rPr>
        <w:lastRenderedPageBreak/>
        <w:t xml:space="preserve">     </w:t>
      </w:r>
      <w:proofErr w:type="gramStart"/>
      <w:r w:rsidRPr="001247B4">
        <w:rPr>
          <w:sz w:val="16"/>
          <w:szCs w:val="16"/>
        </w:rPr>
        <w:t>alternatively</w:t>
      </w:r>
      <w:proofErr w:type="gramEnd"/>
      <w:r w:rsidRPr="001247B4">
        <w:rPr>
          <w:sz w:val="16"/>
          <w:szCs w:val="16"/>
        </w:rPr>
        <w:t>, to stay or transfer. Briefing of the motion is complete but</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oral</w:t>
      </w:r>
      <w:proofErr w:type="gramEnd"/>
      <w:r w:rsidRPr="001247B4">
        <w:rPr>
          <w:sz w:val="16"/>
          <w:szCs w:val="16"/>
        </w:rPr>
        <w:t xml:space="preserve"> argument has not yet been scheduled. On June 25, 2001, Green Isle</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filed</w:t>
      </w:r>
      <w:proofErr w:type="gramEnd"/>
      <w:r w:rsidRPr="001247B4">
        <w:rPr>
          <w:sz w:val="16"/>
          <w:szCs w:val="16"/>
        </w:rPr>
        <w:t xml:space="preserve"> its Chapter 11 Bankruptcy Petition in the Southern District of</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Florida. On November 11, 2001, the Court granted defendants' motion to</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transfer</w:t>
      </w:r>
      <w:proofErr w:type="gramEnd"/>
      <w:r w:rsidRPr="001247B4">
        <w:rPr>
          <w:sz w:val="16"/>
          <w:szCs w:val="16"/>
        </w:rPr>
        <w:t xml:space="preserve"> and subsequently did transfer the matter to the United States</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District Court for the district of Puerto Rico.</w:t>
      </w:r>
      <w:proofErr w:type="gramEnd"/>
      <w:r w:rsidRPr="001247B4">
        <w:rPr>
          <w:sz w:val="16"/>
          <w:szCs w:val="16"/>
        </w:rPr>
        <w:t xml:space="preserve"> In that proceeding, Green</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Isle's motion to reject the Ritz-Carlton operating agreement was dismissed</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without</w:t>
      </w:r>
      <w:proofErr w:type="gramEnd"/>
      <w:r w:rsidRPr="001247B4">
        <w:rPr>
          <w:sz w:val="16"/>
          <w:szCs w:val="16"/>
        </w:rPr>
        <w:t xml:space="preserve"> prejudice.</w:t>
      </w:r>
      <w:r w:rsidRPr="001247B4">
        <w:rPr>
          <w:sz w:val="16"/>
          <w:szCs w:val="16"/>
        </w:rPr>
        <w:br/>
      </w:r>
    </w:p>
    <w:p w:rsidR="00DB33A3" w:rsidRPr="001247B4" w:rsidRDefault="00DB33A3" w:rsidP="00DB33A3">
      <w:pPr>
        <w:pStyle w:val="HTMLPreformatted"/>
        <w:rPr>
          <w:sz w:val="16"/>
          <w:szCs w:val="16"/>
        </w:rPr>
      </w:pPr>
      <w:r w:rsidRPr="001247B4">
        <w:rPr>
          <w:sz w:val="16"/>
          <w:szCs w:val="16"/>
        </w:rPr>
        <w:br/>
      </w:r>
    </w:p>
    <w:p w:rsidR="00DB33A3" w:rsidRPr="001247B4" w:rsidRDefault="00DB33A3" w:rsidP="00DB33A3">
      <w:pPr>
        <w:pStyle w:val="HTMLPreformatted"/>
        <w:rPr>
          <w:sz w:val="16"/>
          <w:szCs w:val="16"/>
        </w:rPr>
      </w:pPr>
    </w:p>
    <w:p w:rsidR="00DB33A3" w:rsidRPr="001247B4" w:rsidRDefault="00DB33A3" w:rsidP="00DB33A3">
      <w:pPr>
        <w:pStyle w:val="HTMLPreformatted"/>
        <w:rPr>
          <w:sz w:val="16"/>
          <w:szCs w:val="16"/>
        </w:rPr>
      </w:pPr>
      <w:r w:rsidRPr="001247B4">
        <w:rPr>
          <w:sz w:val="16"/>
          <w:szCs w:val="16"/>
        </w:rPr>
        <w:t xml:space="preserve">     </w:t>
      </w:r>
      <w:r w:rsidRPr="00C55E4C">
        <w:rPr>
          <w:sz w:val="16"/>
          <w:szCs w:val="16"/>
          <w:highlight w:val="yellow"/>
        </w:rPr>
        <w:t>We believe that the Green Isle and CTF lawsuits are without merit</w:t>
      </w:r>
      <w:r w:rsidRPr="001247B4">
        <w:rPr>
          <w:sz w:val="16"/>
          <w:szCs w:val="16"/>
        </w:rPr>
        <w:t xml:space="preserve"> and we</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w:t>
      </w:r>
      <w:proofErr w:type="gramStart"/>
      <w:r w:rsidRPr="001247B4">
        <w:rPr>
          <w:sz w:val="16"/>
          <w:szCs w:val="16"/>
        </w:rPr>
        <w:t>intend</w:t>
      </w:r>
      <w:proofErr w:type="gramEnd"/>
      <w:r w:rsidRPr="001247B4">
        <w:rPr>
          <w:sz w:val="16"/>
          <w:szCs w:val="16"/>
        </w:rPr>
        <w:t xml:space="preserve"> to vigorously defend against the claims being made against us.</w:t>
      </w:r>
      <w:r w:rsidRPr="001247B4">
        <w:rPr>
          <w:sz w:val="16"/>
          <w:szCs w:val="16"/>
        </w:rPr>
        <w:br/>
      </w:r>
    </w:p>
    <w:p w:rsidR="00DB33A3" w:rsidRPr="001247B4" w:rsidRDefault="00DB33A3" w:rsidP="00DB33A3">
      <w:pPr>
        <w:pStyle w:val="HTMLPreformatted"/>
        <w:rPr>
          <w:sz w:val="16"/>
          <w:szCs w:val="16"/>
        </w:rPr>
      </w:pPr>
      <w:r w:rsidRPr="001247B4">
        <w:rPr>
          <w:sz w:val="16"/>
          <w:szCs w:val="16"/>
        </w:rPr>
        <w:t xml:space="preserve">     However, we cannot assure you as to the outcome of </w:t>
      </w:r>
      <w:proofErr w:type="gramStart"/>
      <w:r w:rsidRPr="001247B4">
        <w:rPr>
          <w:sz w:val="16"/>
          <w:szCs w:val="16"/>
        </w:rPr>
        <w:t>either lawsuit nor</w:t>
      </w:r>
      <w:proofErr w:type="gramEnd"/>
      <w:r w:rsidRPr="001247B4">
        <w:rPr>
          <w:sz w:val="16"/>
          <w:szCs w:val="16"/>
        </w:rPr>
        <w:t xml:space="preserve"> can</w:t>
      </w:r>
      <w:r w:rsidRPr="001247B4">
        <w:rPr>
          <w:sz w:val="16"/>
          <w:szCs w:val="16"/>
        </w:rPr>
        <w:br/>
      </w:r>
    </w:p>
    <w:p w:rsidR="00DB33A3" w:rsidRDefault="00DB33A3" w:rsidP="00DB33A3">
      <w:pPr>
        <w:pStyle w:val="HTMLPreformatted"/>
        <w:rPr>
          <w:sz w:val="16"/>
          <w:szCs w:val="16"/>
        </w:rPr>
      </w:pPr>
      <w:r w:rsidRPr="001247B4">
        <w:rPr>
          <w:sz w:val="16"/>
          <w:szCs w:val="16"/>
        </w:rPr>
        <w:t xml:space="preserve">     </w:t>
      </w:r>
      <w:proofErr w:type="gramStart"/>
      <w:r w:rsidRPr="001247B4">
        <w:rPr>
          <w:sz w:val="16"/>
          <w:szCs w:val="16"/>
        </w:rPr>
        <w:t>we</w:t>
      </w:r>
      <w:proofErr w:type="gramEnd"/>
      <w:r w:rsidRPr="001247B4">
        <w:rPr>
          <w:sz w:val="16"/>
          <w:szCs w:val="16"/>
        </w:rPr>
        <w:t xml:space="preserve"> currently estimate the range of any potential loss to the Company.</w:t>
      </w:r>
    </w:p>
    <w:p w:rsidR="00DB33A3" w:rsidRDefault="00DB33A3" w:rsidP="00DB33A3">
      <w:pPr>
        <w:pStyle w:val="HTMLPreformatted"/>
      </w:pPr>
      <w:r w:rsidRPr="001247B4">
        <w:rPr>
          <w:sz w:val="16"/>
          <w:szCs w:val="16"/>
        </w:rPr>
        <w:br/>
      </w:r>
    </w:p>
    <w:p w:rsidR="00DB33A3" w:rsidRDefault="00DB33A3" w:rsidP="00DB33A3">
      <w:pPr>
        <w:pStyle w:val="HTMLPreformatted"/>
      </w:pPr>
    </w:p>
    <w:p w:rsidR="002F73B0" w:rsidRPr="00C55E4C" w:rsidRDefault="002F73B0" w:rsidP="00DB33A3">
      <w:pPr>
        <w:rPr>
          <w:strike/>
        </w:rPr>
      </w:pPr>
    </w:p>
    <w:sectPr w:rsidR="002F73B0" w:rsidRPr="00C55E4C" w:rsidSect="00045F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6A8D"/>
    <w:multiLevelType w:val="multilevel"/>
    <w:tmpl w:val="CED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B4B49"/>
    <w:multiLevelType w:val="multilevel"/>
    <w:tmpl w:val="0AC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7F6E8F"/>
    <w:multiLevelType w:val="multilevel"/>
    <w:tmpl w:val="43A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D7DCE"/>
    <w:multiLevelType w:val="multilevel"/>
    <w:tmpl w:val="209A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403775"/>
    <w:multiLevelType w:val="multilevel"/>
    <w:tmpl w:val="5E64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954B24"/>
    <w:multiLevelType w:val="multilevel"/>
    <w:tmpl w:val="AD0E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8F9"/>
    <w:rsid w:val="00045FC3"/>
    <w:rsid w:val="0005719B"/>
    <w:rsid w:val="001247B4"/>
    <w:rsid w:val="002E4FA3"/>
    <w:rsid w:val="002F73B0"/>
    <w:rsid w:val="003B6C3E"/>
    <w:rsid w:val="00422C41"/>
    <w:rsid w:val="00506890"/>
    <w:rsid w:val="00512B6D"/>
    <w:rsid w:val="00512FB6"/>
    <w:rsid w:val="00547BAF"/>
    <w:rsid w:val="005E6962"/>
    <w:rsid w:val="006B6078"/>
    <w:rsid w:val="007E2B07"/>
    <w:rsid w:val="0084595E"/>
    <w:rsid w:val="008568F9"/>
    <w:rsid w:val="008C46E4"/>
    <w:rsid w:val="008F420A"/>
    <w:rsid w:val="00943BB5"/>
    <w:rsid w:val="00AA085B"/>
    <w:rsid w:val="00B27391"/>
    <w:rsid w:val="00B80FA7"/>
    <w:rsid w:val="00BB6BED"/>
    <w:rsid w:val="00BE00A7"/>
    <w:rsid w:val="00C55E4C"/>
    <w:rsid w:val="00C715F4"/>
    <w:rsid w:val="00CB1832"/>
    <w:rsid w:val="00CF3D0C"/>
    <w:rsid w:val="00D70D7B"/>
    <w:rsid w:val="00DB33A3"/>
    <w:rsid w:val="00E127D3"/>
    <w:rsid w:val="00F61C01"/>
    <w:rsid w:val="00F7458A"/>
    <w:rsid w:val="00F81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C3"/>
  </w:style>
  <w:style w:type="paragraph" w:styleId="Heading1">
    <w:name w:val="heading 1"/>
    <w:basedOn w:val="Normal"/>
    <w:link w:val="Heading1Char"/>
    <w:uiPriority w:val="9"/>
    <w:qFormat/>
    <w:rsid w:val="008568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E0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8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68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8F9"/>
    <w:rPr>
      <w:color w:val="0000FF"/>
      <w:u w:val="single"/>
    </w:rPr>
  </w:style>
  <w:style w:type="paragraph" w:styleId="HTMLPreformatted">
    <w:name w:val="HTML Preformatted"/>
    <w:basedOn w:val="Normal"/>
    <w:link w:val="HTMLPreformattedChar"/>
    <w:uiPriority w:val="99"/>
    <w:unhideWhenUsed/>
    <w:rsid w:val="00124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47B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BE00A7"/>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BE00A7"/>
    <w:rPr>
      <w:color w:val="800080"/>
      <w:u w:val="single"/>
    </w:rPr>
  </w:style>
  <w:style w:type="character" w:styleId="Strong">
    <w:name w:val="Strong"/>
    <w:basedOn w:val="DefaultParagraphFont"/>
    <w:uiPriority w:val="22"/>
    <w:qFormat/>
    <w:rsid w:val="002F73B0"/>
    <w:rPr>
      <w:b/>
      <w:bCs/>
    </w:rPr>
  </w:style>
  <w:style w:type="character" w:styleId="Emphasis">
    <w:name w:val="Emphasis"/>
    <w:basedOn w:val="DefaultParagraphFont"/>
    <w:uiPriority w:val="20"/>
    <w:qFormat/>
    <w:rsid w:val="002F73B0"/>
    <w:rPr>
      <w:i/>
      <w:iCs/>
    </w:rPr>
  </w:style>
  <w:style w:type="paragraph" w:styleId="PlainText">
    <w:name w:val="Plain Text"/>
    <w:basedOn w:val="Normal"/>
    <w:link w:val="PlainTextChar"/>
    <w:uiPriority w:val="99"/>
    <w:semiHidden/>
    <w:unhideWhenUsed/>
    <w:rsid w:val="00C55E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5E4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5271118">
      <w:bodyDiv w:val="1"/>
      <w:marLeft w:val="0"/>
      <w:marRight w:val="0"/>
      <w:marTop w:val="0"/>
      <w:marBottom w:val="0"/>
      <w:divBdr>
        <w:top w:val="none" w:sz="0" w:space="0" w:color="auto"/>
        <w:left w:val="none" w:sz="0" w:space="0" w:color="auto"/>
        <w:bottom w:val="none" w:sz="0" w:space="0" w:color="auto"/>
        <w:right w:val="none" w:sz="0" w:space="0" w:color="auto"/>
      </w:divBdr>
    </w:div>
    <w:div w:id="408505558">
      <w:bodyDiv w:val="1"/>
      <w:marLeft w:val="0"/>
      <w:marRight w:val="0"/>
      <w:marTop w:val="0"/>
      <w:marBottom w:val="0"/>
      <w:divBdr>
        <w:top w:val="none" w:sz="0" w:space="0" w:color="auto"/>
        <w:left w:val="none" w:sz="0" w:space="0" w:color="auto"/>
        <w:bottom w:val="none" w:sz="0" w:space="0" w:color="auto"/>
        <w:right w:val="none" w:sz="0" w:space="0" w:color="auto"/>
      </w:divBdr>
      <w:divsChild>
        <w:div w:id="1330478638">
          <w:marLeft w:val="0"/>
          <w:marRight w:val="0"/>
          <w:marTop w:val="0"/>
          <w:marBottom w:val="0"/>
          <w:divBdr>
            <w:top w:val="none" w:sz="0" w:space="0" w:color="auto"/>
            <w:left w:val="none" w:sz="0" w:space="0" w:color="auto"/>
            <w:bottom w:val="none" w:sz="0" w:space="0" w:color="auto"/>
            <w:right w:val="none" w:sz="0" w:space="0" w:color="auto"/>
          </w:divBdr>
        </w:div>
        <w:div w:id="1382709227">
          <w:marLeft w:val="0"/>
          <w:marRight w:val="0"/>
          <w:marTop w:val="0"/>
          <w:marBottom w:val="0"/>
          <w:divBdr>
            <w:top w:val="none" w:sz="0" w:space="0" w:color="auto"/>
            <w:left w:val="none" w:sz="0" w:space="0" w:color="auto"/>
            <w:bottom w:val="none" w:sz="0" w:space="0" w:color="auto"/>
            <w:right w:val="none" w:sz="0" w:space="0" w:color="auto"/>
          </w:divBdr>
        </w:div>
        <w:div w:id="1496264082">
          <w:marLeft w:val="0"/>
          <w:marRight w:val="0"/>
          <w:marTop w:val="0"/>
          <w:marBottom w:val="0"/>
          <w:divBdr>
            <w:top w:val="none" w:sz="0" w:space="0" w:color="auto"/>
            <w:left w:val="none" w:sz="0" w:space="0" w:color="auto"/>
            <w:bottom w:val="none" w:sz="0" w:space="0" w:color="auto"/>
            <w:right w:val="none" w:sz="0" w:space="0" w:color="auto"/>
          </w:divBdr>
        </w:div>
        <w:div w:id="1537934066">
          <w:marLeft w:val="0"/>
          <w:marRight w:val="0"/>
          <w:marTop w:val="0"/>
          <w:marBottom w:val="0"/>
          <w:divBdr>
            <w:top w:val="none" w:sz="0" w:space="0" w:color="auto"/>
            <w:left w:val="none" w:sz="0" w:space="0" w:color="auto"/>
            <w:bottom w:val="none" w:sz="0" w:space="0" w:color="auto"/>
            <w:right w:val="none" w:sz="0" w:space="0" w:color="auto"/>
          </w:divBdr>
        </w:div>
        <w:div w:id="2036731767">
          <w:marLeft w:val="0"/>
          <w:marRight w:val="0"/>
          <w:marTop w:val="0"/>
          <w:marBottom w:val="0"/>
          <w:divBdr>
            <w:top w:val="none" w:sz="0" w:space="0" w:color="auto"/>
            <w:left w:val="none" w:sz="0" w:space="0" w:color="auto"/>
            <w:bottom w:val="none" w:sz="0" w:space="0" w:color="auto"/>
            <w:right w:val="none" w:sz="0" w:space="0" w:color="auto"/>
          </w:divBdr>
        </w:div>
      </w:divsChild>
    </w:div>
    <w:div w:id="668480119">
      <w:bodyDiv w:val="1"/>
      <w:marLeft w:val="0"/>
      <w:marRight w:val="0"/>
      <w:marTop w:val="0"/>
      <w:marBottom w:val="0"/>
      <w:divBdr>
        <w:top w:val="none" w:sz="0" w:space="0" w:color="auto"/>
        <w:left w:val="none" w:sz="0" w:space="0" w:color="auto"/>
        <w:bottom w:val="none" w:sz="0" w:space="0" w:color="auto"/>
        <w:right w:val="none" w:sz="0" w:space="0" w:color="auto"/>
      </w:divBdr>
      <w:divsChild>
        <w:div w:id="1424492995">
          <w:marLeft w:val="0"/>
          <w:marRight w:val="0"/>
          <w:marTop w:val="0"/>
          <w:marBottom w:val="0"/>
          <w:divBdr>
            <w:top w:val="none" w:sz="0" w:space="0" w:color="auto"/>
            <w:left w:val="none" w:sz="0" w:space="0" w:color="auto"/>
            <w:bottom w:val="none" w:sz="0" w:space="0" w:color="auto"/>
            <w:right w:val="none" w:sz="0" w:space="0" w:color="auto"/>
          </w:divBdr>
          <w:divsChild>
            <w:div w:id="771509776">
              <w:marLeft w:val="0"/>
              <w:marRight w:val="0"/>
              <w:marTop w:val="0"/>
              <w:marBottom w:val="0"/>
              <w:divBdr>
                <w:top w:val="none" w:sz="0" w:space="0" w:color="auto"/>
                <w:left w:val="none" w:sz="0" w:space="0" w:color="auto"/>
                <w:bottom w:val="none" w:sz="0" w:space="0" w:color="auto"/>
                <w:right w:val="none" w:sz="0" w:space="0" w:color="auto"/>
              </w:divBdr>
            </w:div>
          </w:divsChild>
        </w:div>
        <w:div w:id="2118519112">
          <w:marLeft w:val="0"/>
          <w:marRight w:val="0"/>
          <w:marTop w:val="0"/>
          <w:marBottom w:val="0"/>
          <w:divBdr>
            <w:top w:val="none" w:sz="0" w:space="0" w:color="auto"/>
            <w:left w:val="none" w:sz="0" w:space="0" w:color="auto"/>
            <w:bottom w:val="none" w:sz="0" w:space="0" w:color="auto"/>
            <w:right w:val="none" w:sz="0" w:space="0" w:color="auto"/>
          </w:divBdr>
          <w:divsChild>
            <w:div w:id="924462100">
              <w:marLeft w:val="0"/>
              <w:marRight w:val="0"/>
              <w:marTop w:val="0"/>
              <w:marBottom w:val="0"/>
              <w:divBdr>
                <w:top w:val="none" w:sz="0" w:space="0" w:color="auto"/>
                <w:left w:val="none" w:sz="0" w:space="0" w:color="auto"/>
                <w:bottom w:val="none" w:sz="0" w:space="0" w:color="auto"/>
                <w:right w:val="none" w:sz="0" w:space="0" w:color="auto"/>
              </w:divBdr>
            </w:div>
            <w:div w:id="1777020792">
              <w:marLeft w:val="0"/>
              <w:marRight w:val="0"/>
              <w:marTop w:val="0"/>
              <w:marBottom w:val="0"/>
              <w:divBdr>
                <w:top w:val="none" w:sz="0" w:space="0" w:color="auto"/>
                <w:left w:val="none" w:sz="0" w:space="0" w:color="auto"/>
                <w:bottom w:val="none" w:sz="0" w:space="0" w:color="auto"/>
                <w:right w:val="none" w:sz="0" w:space="0" w:color="auto"/>
              </w:divBdr>
              <w:divsChild>
                <w:div w:id="169490853">
                  <w:marLeft w:val="0"/>
                  <w:marRight w:val="0"/>
                  <w:marTop w:val="0"/>
                  <w:marBottom w:val="0"/>
                  <w:divBdr>
                    <w:top w:val="none" w:sz="0" w:space="0" w:color="auto"/>
                    <w:left w:val="none" w:sz="0" w:space="0" w:color="auto"/>
                    <w:bottom w:val="none" w:sz="0" w:space="0" w:color="auto"/>
                    <w:right w:val="none" w:sz="0" w:space="0" w:color="auto"/>
                  </w:divBdr>
                </w:div>
                <w:div w:id="245070585">
                  <w:marLeft w:val="0"/>
                  <w:marRight w:val="0"/>
                  <w:marTop w:val="0"/>
                  <w:marBottom w:val="0"/>
                  <w:divBdr>
                    <w:top w:val="none" w:sz="0" w:space="0" w:color="auto"/>
                    <w:left w:val="none" w:sz="0" w:space="0" w:color="auto"/>
                    <w:bottom w:val="none" w:sz="0" w:space="0" w:color="auto"/>
                    <w:right w:val="none" w:sz="0" w:space="0" w:color="auto"/>
                  </w:divBdr>
                </w:div>
                <w:div w:id="245462843">
                  <w:marLeft w:val="0"/>
                  <w:marRight w:val="0"/>
                  <w:marTop w:val="0"/>
                  <w:marBottom w:val="0"/>
                  <w:divBdr>
                    <w:top w:val="none" w:sz="0" w:space="0" w:color="auto"/>
                    <w:left w:val="none" w:sz="0" w:space="0" w:color="auto"/>
                    <w:bottom w:val="none" w:sz="0" w:space="0" w:color="auto"/>
                    <w:right w:val="none" w:sz="0" w:space="0" w:color="auto"/>
                  </w:divBdr>
                </w:div>
                <w:div w:id="751389144">
                  <w:marLeft w:val="0"/>
                  <w:marRight w:val="0"/>
                  <w:marTop w:val="0"/>
                  <w:marBottom w:val="0"/>
                  <w:divBdr>
                    <w:top w:val="none" w:sz="0" w:space="0" w:color="auto"/>
                    <w:left w:val="none" w:sz="0" w:space="0" w:color="auto"/>
                    <w:bottom w:val="none" w:sz="0" w:space="0" w:color="auto"/>
                    <w:right w:val="none" w:sz="0" w:space="0" w:color="auto"/>
                  </w:divBdr>
                </w:div>
                <w:div w:id="999961776">
                  <w:marLeft w:val="0"/>
                  <w:marRight w:val="0"/>
                  <w:marTop w:val="0"/>
                  <w:marBottom w:val="0"/>
                  <w:divBdr>
                    <w:top w:val="none" w:sz="0" w:space="0" w:color="auto"/>
                    <w:left w:val="none" w:sz="0" w:space="0" w:color="auto"/>
                    <w:bottom w:val="none" w:sz="0" w:space="0" w:color="auto"/>
                    <w:right w:val="none" w:sz="0" w:space="0" w:color="auto"/>
                  </w:divBdr>
                </w:div>
                <w:div w:id="1279605262">
                  <w:marLeft w:val="0"/>
                  <w:marRight w:val="0"/>
                  <w:marTop w:val="0"/>
                  <w:marBottom w:val="0"/>
                  <w:divBdr>
                    <w:top w:val="none" w:sz="0" w:space="0" w:color="auto"/>
                    <w:left w:val="none" w:sz="0" w:space="0" w:color="auto"/>
                    <w:bottom w:val="none" w:sz="0" w:space="0" w:color="auto"/>
                    <w:right w:val="none" w:sz="0" w:space="0" w:color="auto"/>
                  </w:divBdr>
                </w:div>
                <w:div w:id="14174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4790">
      <w:bodyDiv w:val="1"/>
      <w:marLeft w:val="0"/>
      <w:marRight w:val="0"/>
      <w:marTop w:val="0"/>
      <w:marBottom w:val="0"/>
      <w:divBdr>
        <w:top w:val="none" w:sz="0" w:space="0" w:color="auto"/>
        <w:left w:val="none" w:sz="0" w:space="0" w:color="auto"/>
        <w:bottom w:val="none" w:sz="0" w:space="0" w:color="auto"/>
        <w:right w:val="none" w:sz="0" w:space="0" w:color="auto"/>
      </w:divBdr>
    </w:div>
    <w:div w:id="1088576767">
      <w:bodyDiv w:val="1"/>
      <w:marLeft w:val="0"/>
      <w:marRight w:val="0"/>
      <w:marTop w:val="0"/>
      <w:marBottom w:val="0"/>
      <w:divBdr>
        <w:top w:val="none" w:sz="0" w:space="0" w:color="auto"/>
        <w:left w:val="none" w:sz="0" w:space="0" w:color="auto"/>
        <w:bottom w:val="none" w:sz="0" w:space="0" w:color="auto"/>
        <w:right w:val="none" w:sz="0" w:space="0" w:color="auto"/>
      </w:divBdr>
      <w:divsChild>
        <w:div w:id="371812691">
          <w:marLeft w:val="0"/>
          <w:marRight w:val="0"/>
          <w:marTop w:val="0"/>
          <w:marBottom w:val="0"/>
          <w:divBdr>
            <w:top w:val="none" w:sz="0" w:space="0" w:color="auto"/>
            <w:left w:val="none" w:sz="0" w:space="0" w:color="auto"/>
            <w:bottom w:val="none" w:sz="0" w:space="0" w:color="auto"/>
            <w:right w:val="none" w:sz="0" w:space="0" w:color="auto"/>
          </w:divBdr>
          <w:divsChild>
            <w:div w:id="1333025609">
              <w:marLeft w:val="0"/>
              <w:marRight w:val="0"/>
              <w:marTop w:val="0"/>
              <w:marBottom w:val="0"/>
              <w:divBdr>
                <w:top w:val="none" w:sz="0" w:space="0" w:color="auto"/>
                <w:left w:val="none" w:sz="0" w:space="0" w:color="auto"/>
                <w:bottom w:val="none" w:sz="0" w:space="0" w:color="auto"/>
                <w:right w:val="none" w:sz="0" w:space="0" w:color="auto"/>
              </w:divBdr>
            </w:div>
          </w:divsChild>
        </w:div>
        <w:div w:id="1592659858">
          <w:marLeft w:val="0"/>
          <w:marRight w:val="0"/>
          <w:marTop w:val="0"/>
          <w:marBottom w:val="0"/>
          <w:divBdr>
            <w:top w:val="none" w:sz="0" w:space="0" w:color="auto"/>
            <w:left w:val="none" w:sz="0" w:space="0" w:color="auto"/>
            <w:bottom w:val="none" w:sz="0" w:space="0" w:color="auto"/>
            <w:right w:val="none" w:sz="0" w:space="0" w:color="auto"/>
          </w:divBdr>
          <w:divsChild>
            <w:div w:id="1528829789">
              <w:marLeft w:val="0"/>
              <w:marRight w:val="0"/>
              <w:marTop w:val="0"/>
              <w:marBottom w:val="0"/>
              <w:divBdr>
                <w:top w:val="none" w:sz="0" w:space="0" w:color="auto"/>
                <w:left w:val="none" w:sz="0" w:space="0" w:color="auto"/>
                <w:bottom w:val="none" w:sz="0" w:space="0" w:color="auto"/>
                <w:right w:val="none" w:sz="0" w:space="0" w:color="auto"/>
              </w:divBdr>
              <w:divsChild>
                <w:div w:id="594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7745">
      <w:bodyDiv w:val="1"/>
      <w:marLeft w:val="0"/>
      <w:marRight w:val="0"/>
      <w:marTop w:val="0"/>
      <w:marBottom w:val="0"/>
      <w:divBdr>
        <w:top w:val="none" w:sz="0" w:space="0" w:color="auto"/>
        <w:left w:val="none" w:sz="0" w:space="0" w:color="auto"/>
        <w:bottom w:val="none" w:sz="0" w:space="0" w:color="auto"/>
        <w:right w:val="none" w:sz="0" w:space="0" w:color="auto"/>
      </w:divBdr>
      <w:divsChild>
        <w:div w:id="151651683">
          <w:marLeft w:val="0"/>
          <w:marRight w:val="0"/>
          <w:marTop w:val="0"/>
          <w:marBottom w:val="0"/>
          <w:divBdr>
            <w:top w:val="none" w:sz="0" w:space="0" w:color="auto"/>
            <w:left w:val="none" w:sz="0" w:space="0" w:color="auto"/>
            <w:bottom w:val="none" w:sz="0" w:space="0" w:color="auto"/>
            <w:right w:val="none" w:sz="0" w:space="0" w:color="auto"/>
          </w:divBdr>
          <w:divsChild>
            <w:div w:id="584917918">
              <w:marLeft w:val="0"/>
              <w:marRight w:val="0"/>
              <w:marTop w:val="0"/>
              <w:marBottom w:val="0"/>
              <w:divBdr>
                <w:top w:val="none" w:sz="0" w:space="0" w:color="auto"/>
                <w:left w:val="none" w:sz="0" w:space="0" w:color="auto"/>
                <w:bottom w:val="none" w:sz="0" w:space="0" w:color="auto"/>
                <w:right w:val="none" w:sz="0" w:space="0" w:color="auto"/>
              </w:divBdr>
            </w:div>
          </w:divsChild>
        </w:div>
        <w:div w:id="1458140035">
          <w:marLeft w:val="0"/>
          <w:marRight w:val="0"/>
          <w:marTop w:val="0"/>
          <w:marBottom w:val="0"/>
          <w:divBdr>
            <w:top w:val="none" w:sz="0" w:space="0" w:color="auto"/>
            <w:left w:val="none" w:sz="0" w:space="0" w:color="auto"/>
            <w:bottom w:val="none" w:sz="0" w:space="0" w:color="auto"/>
            <w:right w:val="none" w:sz="0" w:space="0" w:color="auto"/>
          </w:divBdr>
          <w:divsChild>
            <w:div w:id="1807161037">
              <w:marLeft w:val="0"/>
              <w:marRight w:val="0"/>
              <w:marTop w:val="0"/>
              <w:marBottom w:val="0"/>
              <w:divBdr>
                <w:top w:val="none" w:sz="0" w:space="0" w:color="auto"/>
                <w:left w:val="none" w:sz="0" w:space="0" w:color="auto"/>
                <w:bottom w:val="none" w:sz="0" w:space="0" w:color="auto"/>
                <w:right w:val="none" w:sz="0" w:space="0" w:color="auto"/>
              </w:divBdr>
              <w:divsChild>
                <w:div w:id="3897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6719">
      <w:bodyDiv w:val="1"/>
      <w:marLeft w:val="0"/>
      <w:marRight w:val="0"/>
      <w:marTop w:val="0"/>
      <w:marBottom w:val="0"/>
      <w:divBdr>
        <w:top w:val="none" w:sz="0" w:space="0" w:color="auto"/>
        <w:left w:val="none" w:sz="0" w:space="0" w:color="auto"/>
        <w:bottom w:val="none" w:sz="0" w:space="0" w:color="auto"/>
        <w:right w:val="none" w:sz="0" w:space="0" w:color="auto"/>
      </w:divBdr>
      <w:divsChild>
        <w:div w:id="1065376656">
          <w:marLeft w:val="0"/>
          <w:marRight w:val="0"/>
          <w:marTop w:val="0"/>
          <w:marBottom w:val="0"/>
          <w:divBdr>
            <w:top w:val="none" w:sz="0" w:space="0" w:color="auto"/>
            <w:left w:val="none" w:sz="0" w:space="0" w:color="auto"/>
            <w:bottom w:val="none" w:sz="0" w:space="0" w:color="auto"/>
            <w:right w:val="none" w:sz="0" w:space="0" w:color="auto"/>
          </w:divBdr>
          <w:divsChild>
            <w:div w:id="1714886019">
              <w:marLeft w:val="0"/>
              <w:marRight w:val="0"/>
              <w:marTop w:val="0"/>
              <w:marBottom w:val="0"/>
              <w:divBdr>
                <w:top w:val="none" w:sz="0" w:space="0" w:color="auto"/>
                <w:left w:val="none" w:sz="0" w:space="0" w:color="auto"/>
                <w:bottom w:val="none" w:sz="0" w:space="0" w:color="auto"/>
                <w:right w:val="none" w:sz="0" w:space="0" w:color="auto"/>
              </w:divBdr>
            </w:div>
          </w:divsChild>
        </w:div>
        <w:div w:id="1532913273">
          <w:marLeft w:val="0"/>
          <w:marRight w:val="0"/>
          <w:marTop w:val="0"/>
          <w:marBottom w:val="0"/>
          <w:divBdr>
            <w:top w:val="none" w:sz="0" w:space="0" w:color="auto"/>
            <w:left w:val="none" w:sz="0" w:space="0" w:color="auto"/>
            <w:bottom w:val="none" w:sz="0" w:space="0" w:color="auto"/>
            <w:right w:val="none" w:sz="0" w:space="0" w:color="auto"/>
          </w:divBdr>
          <w:divsChild>
            <w:div w:id="7026334">
              <w:marLeft w:val="0"/>
              <w:marRight w:val="0"/>
              <w:marTop w:val="0"/>
              <w:marBottom w:val="0"/>
              <w:divBdr>
                <w:top w:val="none" w:sz="0" w:space="0" w:color="auto"/>
                <w:left w:val="none" w:sz="0" w:space="0" w:color="auto"/>
                <w:bottom w:val="none" w:sz="0" w:space="0" w:color="auto"/>
                <w:right w:val="none" w:sz="0" w:space="0" w:color="auto"/>
              </w:divBdr>
              <w:divsChild>
                <w:div w:id="15760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4459">
      <w:bodyDiv w:val="1"/>
      <w:marLeft w:val="0"/>
      <w:marRight w:val="0"/>
      <w:marTop w:val="0"/>
      <w:marBottom w:val="0"/>
      <w:divBdr>
        <w:top w:val="none" w:sz="0" w:space="0" w:color="auto"/>
        <w:left w:val="none" w:sz="0" w:space="0" w:color="auto"/>
        <w:bottom w:val="none" w:sz="0" w:space="0" w:color="auto"/>
        <w:right w:val="none" w:sz="0" w:space="0" w:color="auto"/>
      </w:divBdr>
      <w:divsChild>
        <w:div w:id="1434472679">
          <w:marLeft w:val="0"/>
          <w:marRight w:val="0"/>
          <w:marTop w:val="0"/>
          <w:marBottom w:val="0"/>
          <w:divBdr>
            <w:top w:val="none" w:sz="0" w:space="0" w:color="auto"/>
            <w:left w:val="none" w:sz="0" w:space="0" w:color="auto"/>
            <w:bottom w:val="none" w:sz="0" w:space="0" w:color="auto"/>
            <w:right w:val="none" w:sz="0" w:space="0" w:color="auto"/>
          </w:divBdr>
          <w:divsChild>
            <w:div w:id="11294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2605">
      <w:bodyDiv w:val="1"/>
      <w:marLeft w:val="0"/>
      <w:marRight w:val="0"/>
      <w:marTop w:val="0"/>
      <w:marBottom w:val="0"/>
      <w:divBdr>
        <w:top w:val="none" w:sz="0" w:space="0" w:color="auto"/>
        <w:left w:val="none" w:sz="0" w:space="0" w:color="auto"/>
        <w:bottom w:val="none" w:sz="0" w:space="0" w:color="auto"/>
        <w:right w:val="none" w:sz="0" w:space="0" w:color="auto"/>
      </w:divBdr>
    </w:div>
    <w:div w:id="1659504451">
      <w:bodyDiv w:val="1"/>
      <w:marLeft w:val="0"/>
      <w:marRight w:val="0"/>
      <w:marTop w:val="0"/>
      <w:marBottom w:val="0"/>
      <w:divBdr>
        <w:top w:val="none" w:sz="0" w:space="0" w:color="auto"/>
        <w:left w:val="none" w:sz="0" w:space="0" w:color="auto"/>
        <w:bottom w:val="none" w:sz="0" w:space="0" w:color="auto"/>
        <w:right w:val="none" w:sz="0" w:space="0" w:color="auto"/>
      </w:divBdr>
    </w:div>
    <w:div w:id="1773236100">
      <w:bodyDiv w:val="1"/>
      <w:marLeft w:val="0"/>
      <w:marRight w:val="0"/>
      <w:marTop w:val="0"/>
      <w:marBottom w:val="0"/>
      <w:divBdr>
        <w:top w:val="none" w:sz="0" w:space="0" w:color="auto"/>
        <w:left w:val="none" w:sz="0" w:space="0" w:color="auto"/>
        <w:bottom w:val="none" w:sz="0" w:space="0" w:color="auto"/>
        <w:right w:val="none" w:sz="0" w:space="0" w:color="auto"/>
      </w:divBdr>
      <w:divsChild>
        <w:div w:id="160896765">
          <w:marLeft w:val="0"/>
          <w:marRight w:val="0"/>
          <w:marTop w:val="0"/>
          <w:marBottom w:val="0"/>
          <w:divBdr>
            <w:top w:val="none" w:sz="0" w:space="0" w:color="auto"/>
            <w:left w:val="none" w:sz="0" w:space="0" w:color="auto"/>
            <w:bottom w:val="none" w:sz="0" w:space="0" w:color="auto"/>
            <w:right w:val="none" w:sz="0" w:space="0" w:color="auto"/>
          </w:divBdr>
          <w:divsChild>
            <w:div w:id="700863130">
              <w:marLeft w:val="0"/>
              <w:marRight w:val="0"/>
              <w:marTop w:val="0"/>
              <w:marBottom w:val="0"/>
              <w:divBdr>
                <w:top w:val="none" w:sz="0" w:space="0" w:color="auto"/>
                <w:left w:val="none" w:sz="0" w:space="0" w:color="auto"/>
                <w:bottom w:val="none" w:sz="0" w:space="0" w:color="auto"/>
                <w:right w:val="none" w:sz="0" w:space="0" w:color="auto"/>
              </w:divBdr>
            </w:div>
          </w:divsChild>
        </w:div>
        <w:div w:id="2030984990">
          <w:marLeft w:val="0"/>
          <w:marRight w:val="0"/>
          <w:marTop w:val="0"/>
          <w:marBottom w:val="0"/>
          <w:divBdr>
            <w:top w:val="none" w:sz="0" w:space="0" w:color="auto"/>
            <w:left w:val="none" w:sz="0" w:space="0" w:color="auto"/>
            <w:bottom w:val="none" w:sz="0" w:space="0" w:color="auto"/>
            <w:right w:val="none" w:sz="0" w:space="0" w:color="auto"/>
          </w:divBdr>
          <w:divsChild>
            <w:div w:id="1483888162">
              <w:marLeft w:val="0"/>
              <w:marRight w:val="0"/>
              <w:marTop w:val="0"/>
              <w:marBottom w:val="0"/>
              <w:divBdr>
                <w:top w:val="none" w:sz="0" w:space="0" w:color="auto"/>
                <w:left w:val="none" w:sz="0" w:space="0" w:color="auto"/>
                <w:bottom w:val="none" w:sz="0" w:space="0" w:color="auto"/>
                <w:right w:val="none" w:sz="0" w:space="0" w:color="auto"/>
              </w:divBdr>
              <w:divsChild>
                <w:div w:id="7617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17845">
      <w:bodyDiv w:val="1"/>
      <w:marLeft w:val="0"/>
      <w:marRight w:val="0"/>
      <w:marTop w:val="0"/>
      <w:marBottom w:val="0"/>
      <w:divBdr>
        <w:top w:val="none" w:sz="0" w:space="0" w:color="auto"/>
        <w:left w:val="none" w:sz="0" w:space="0" w:color="auto"/>
        <w:bottom w:val="none" w:sz="0" w:space="0" w:color="auto"/>
        <w:right w:val="none" w:sz="0" w:space="0" w:color="auto"/>
      </w:divBdr>
      <w:divsChild>
        <w:div w:id="613177853">
          <w:marLeft w:val="0"/>
          <w:marRight w:val="0"/>
          <w:marTop w:val="0"/>
          <w:marBottom w:val="0"/>
          <w:divBdr>
            <w:top w:val="none" w:sz="0" w:space="0" w:color="auto"/>
            <w:left w:val="none" w:sz="0" w:space="0" w:color="auto"/>
            <w:bottom w:val="none" w:sz="0" w:space="0" w:color="auto"/>
            <w:right w:val="none" w:sz="0" w:space="0" w:color="auto"/>
          </w:divBdr>
          <w:divsChild>
            <w:div w:id="1587232009">
              <w:marLeft w:val="0"/>
              <w:marRight w:val="0"/>
              <w:marTop w:val="0"/>
              <w:marBottom w:val="0"/>
              <w:divBdr>
                <w:top w:val="none" w:sz="0" w:space="0" w:color="auto"/>
                <w:left w:val="none" w:sz="0" w:space="0" w:color="auto"/>
                <w:bottom w:val="none" w:sz="0" w:space="0" w:color="auto"/>
                <w:right w:val="none" w:sz="0" w:space="0" w:color="auto"/>
              </w:divBdr>
            </w:div>
          </w:divsChild>
        </w:div>
        <w:div w:id="1793788801">
          <w:marLeft w:val="0"/>
          <w:marRight w:val="0"/>
          <w:marTop w:val="0"/>
          <w:marBottom w:val="0"/>
          <w:divBdr>
            <w:top w:val="none" w:sz="0" w:space="0" w:color="auto"/>
            <w:left w:val="none" w:sz="0" w:space="0" w:color="auto"/>
            <w:bottom w:val="none" w:sz="0" w:space="0" w:color="auto"/>
            <w:right w:val="none" w:sz="0" w:space="0" w:color="auto"/>
          </w:divBdr>
          <w:divsChild>
            <w:div w:id="822627650">
              <w:marLeft w:val="0"/>
              <w:marRight w:val="0"/>
              <w:marTop w:val="0"/>
              <w:marBottom w:val="0"/>
              <w:divBdr>
                <w:top w:val="none" w:sz="0" w:space="0" w:color="auto"/>
                <w:left w:val="none" w:sz="0" w:space="0" w:color="auto"/>
                <w:bottom w:val="none" w:sz="0" w:space="0" w:color="auto"/>
                <w:right w:val="none" w:sz="0" w:space="0" w:color="auto"/>
              </w:divBdr>
              <w:divsChild>
                <w:div w:id="481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tfilings.com/o0000928385-02-002533.html" TargetMode="External"/><Relationship Id="rId5" Type="http://schemas.openxmlformats.org/officeDocument/2006/relationships/hyperlink" Target="https://investor.shareholder.com/mar/secfiling.cfm?filingID=928385-02-9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Komisar</dc:creator>
  <cp:keywords/>
  <dc:description/>
  <cp:lastModifiedBy>Lucy Komisar</cp:lastModifiedBy>
  <cp:revision>4</cp:revision>
  <dcterms:created xsi:type="dcterms:W3CDTF">2011-12-31T16:02:00Z</dcterms:created>
  <dcterms:modified xsi:type="dcterms:W3CDTF">2012-01-18T18:25:00Z</dcterms:modified>
</cp:coreProperties>
</file>